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8" w:right="4" w:firstLine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Форма типового договора</w:t>
      </w:r>
      <w:r>
        <w:rPr>
          <w:rFonts w:ascii="Times New Roman" w:hAnsi="Times New Roman" w:cs="Times New Roman"/>
          <w:b/>
          <w:i/>
          <w:sz w:val="20"/>
          <w:szCs w:val="20"/>
        </w:rPr>
      </w:r>
    </w:p>
    <w:p>
      <w:pPr>
        <w:ind w:left="7088" w:right="4" w:firstLine="0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на оказание услуг по обращению с твердыми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коммунальными отходами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</w:r>
    </w:p>
    <w:p>
      <w:pPr>
        <w:ind w:left="7088" w:right="4" w:firstLine="0"/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для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юридических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лиц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</w:r>
    </w:p>
    <w:p>
      <w:pPr>
        <w:pStyle w:val="696"/>
        <w:jc w:val="both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6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ТИПОВОЙ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на оказание услуг по обращению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 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рдыми коммунальными отходами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Крымской зоне деятельности Регионального оператора в Краснодарском крае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709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20"/>
        </w:rPr>
      </w:r>
      <w:r>
        <w:rPr>
          <w:rFonts w:ascii="Times New Roman" w:hAnsi="Times New Roman" w:cs="Times New Roman"/>
          <w:color w:val="000000"/>
          <w:sz w:val="16"/>
          <w:szCs w:val="20"/>
        </w:rPr>
      </w:r>
    </w:p>
    <w:p>
      <w:pPr>
        <w:pStyle w:val="70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» 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 20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года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709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</w:r>
      <w:r>
        <w:rPr>
          <w:rFonts w:ascii="Times New Roman" w:hAnsi="Times New Roman" w:cs="Times New Roman"/>
          <w:sz w:val="16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«Экотехпром» (ООО «Экотехпром»)</w:t>
      </w:r>
      <w:r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0"/>
          <w:szCs w:val="20"/>
        </w:rPr>
        <w:t xml:space="preserve">Региональный оператор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Hlk25142269"/>
      <w:r>
        <w:rPr>
          <w:rFonts w:ascii="Times New Roman" w:hAnsi="Times New Roman" w:cs="Times New Roman"/>
          <w:sz w:val="20"/>
          <w:szCs w:val="20"/>
        </w:rPr>
        <w:t xml:space="preserve">в лице 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</w:t>
      </w:r>
      <w:r>
        <w:rPr>
          <w:rFonts w:ascii="Times New Roman" w:hAnsi="Times New Roman" w:cs="Times New Roman"/>
          <w:sz w:val="20"/>
          <w:szCs w:val="20"/>
        </w:rPr>
        <w:t xml:space="preserve">______, действующего на основании _________________________________________, с одной стороны, и</w:t>
      </w:r>
      <w:bookmarkEnd w:id="0"/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8"/>
        <w:spacing w:line="252" w:lineRule="auto"/>
        <w:rPr>
          <w:spacing w:val="-1"/>
          <w:sz w:val="14"/>
          <w:szCs w:val="20"/>
        </w:rPr>
      </w:pPr>
      <w:r>
        <w:rPr>
          <w:spacing w:val="-1"/>
          <w:sz w:val="14"/>
          <w:szCs w:val="20"/>
        </w:rPr>
      </w:r>
      <w:r>
        <w:rPr>
          <w:spacing w:val="-1"/>
          <w:sz w:val="14"/>
          <w:szCs w:val="20"/>
        </w:rPr>
      </w:r>
    </w:p>
    <w:p>
      <w:pPr>
        <w:ind w:firstLine="708"/>
        <w:spacing w:line="252" w:lineRule="auto"/>
        <w:rPr>
          <w:color w:val="000000"/>
          <w:sz w:val="20"/>
          <w:szCs w:val="20"/>
        </w:rPr>
      </w:pPr>
      <w:r>
        <w:rPr>
          <w:spacing w:val="-1"/>
          <w:sz w:val="20"/>
          <w:szCs w:val="20"/>
        </w:rPr>
        <w:t xml:space="preserve">______________________</w:t>
      </w:r>
      <w:r>
        <w:rPr>
          <w:spacing w:val="-1"/>
          <w:sz w:val="20"/>
          <w:szCs w:val="20"/>
        </w:rPr>
        <w:t xml:space="preserve">______________</w:t>
      </w:r>
      <w:r>
        <w:rPr>
          <w:spacing w:val="-1"/>
          <w:sz w:val="20"/>
          <w:szCs w:val="20"/>
        </w:rPr>
        <w:t xml:space="preserve">________</w:t>
      </w:r>
      <w:r>
        <w:rPr>
          <w:b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именуемое(</w:t>
      </w:r>
      <w:r>
        <w:rPr>
          <w:color w:val="000000"/>
          <w:sz w:val="20"/>
          <w:szCs w:val="20"/>
        </w:rPr>
        <w:t xml:space="preserve">ый</w:t>
      </w:r>
      <w:r>
        <w:rPr>
          <w:color w:val="000000"/>
          <w:sz w:val="20"/>
          <w:szCs w:val="20"/>
        </w:rPr>
        <w:t xml:space="preserve">) в дальнейшем </w:t>
      </w:r>
      <w:r>
        <w:rPr>
          <w:b/>
          <w:color w:val="000000"/>
          <w:sz w:val="20"/>
          <w:szCs w:val="20"/>
        </w:rPr>
        <w:t xml:space="preserve">Потребитель</w:t>
      </w:r>
      <w:r>
        <w:rPr>
          <w:b/>
          <w:spacing w:val="2"/>
          <w:sz w:val="20"/>
          <w:szCs w:val="20"/>
        </w:rPr>
        <w:t xml:space="preserve">, </w:t>
      </w:r>
      <w:r>
        <w:rPr>
          <w:spacing w:val="2"/>
          <w:sz w:val="20"/>
          <w:szCs w:val="20"/>
        </w:rPr>
        <w:t xml:space="preserve">в лице</w:t>
      </w:r>
      <w:r>
        <w:rPr>
          <w:b/>
          <w:spacing w:val="2"/>
          <w:sz w:val="20"/>
          <w:szCs w:val="20"/>
        </w:rPr>
        <w:t xml:space="preserve"> ______________________________________</w:t>
      </w:r>
      <w:r>
        <w:rPr>
          <w:b/>
          <w:spacing w:val="2"/>
          <w:sz w:val="20"/>
          <w:szCs w:val="20"/>
        </w:rPr>
        <w:t xml:space="preserve">_____________________</w:t>
      </w:r>
      <w:r>
        <w:rPr>
          <w:b/>
          <w:spacing w:val="2"/>
          <w:sz w:val="20"/>
          <w:szCs w:val="20"/>
        </w:rPr>
        <w:t xml:space="preserve">_____, </w:t>
      </w:r>
      <w:r>
        <w:rPr>
          <w:spacing w:val="2"/>
          <w:sz w:val="20"/>
          <w:szCs w:val="20"/>
        </w:rPr>
        <w:t xml:space="preserve">действующего на основании</w:t>
      </w:r>
      <w:r>
        <w:rPr>
          <w:b/>
          <w:spacing w:val="2"/>
          <w:sz w:val="20"/>
          <w:szCs w:val="20"/>
        </w:rPr>
        <w:t xml:space="preserve"> 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</w:t>
      </w:r>
      <w:r>
        <w:rPr>
          <w:color w:val="000000"/>
          <w:sz w:val="20"/>
          <w:szCs w:val="20"/>
        </w:rPr>
        <w:t xml:space="preserve">, с другой стороны</w:t>
      </w:r>
      <w:r>
        <w:rPr>
          <w:color w:val="000000"/>
          <w:sz w:val="20"/>
          <w:szCs w:val="20"/>
        </w:rPr>
        <w:t xml:space="preserve">, именуемые в дальнейшем </w:t>
      </w:r>
      <w:r>
        <w:rPr>
          <w:color w:val="000000"/>
          <w:sz w:val="20"/>
          <w:szCs w:val="20"/>
        </w:rPr>
        <w:t xml:space="preserve">С</w:t>
      </w:r>
      <w:r>
        <w:rPr>
          <w:color w:val="000000"/>
          <w:sz w:val="20"/>
          <w:szCs w:val="20"/>
        </w:rPr>
        <w:t xml:space="preserve">торонами, заключили настоящий договор о нижеследующем:</w:t>
      </w:r>
      <w:r>
        <w:rPr>
          <w:color w:val="000000"/>
          <w:sz w:val="20"/>
          <w:szCs w:val="20"/>
        </w:rPr>
      </w:r>
    </w:p>
    <w:p>
      <w:pPr>
        <w:pStyle w:val="696"/>
        <w:numPr>
          <w:ilvl w:val="0"/>
          <w:numId w:val="6"/>
        </w:numPr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" w:name="sub_2100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Предмет договора</w:t>
      </w:r>
      <w:bookmarkEnd w:id="1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настоящему договору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егиональный оператор обязуется принимать твердые коммунальные отходы в объеме и (или) массе и в месте, которые определены в настоящем договоре, и обеспечивать их транспортирование, обработку, энергетическую утилизацию, утилизац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ию твердых коммунальных отходов путем производства из их органической части искусственных грунтов, обезвреживание и захоронение твердых коммунальных отходов в соответствии с законодательством Российской Федерации, а потребитель обязуется оплачивать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егионального оператора по обращению с твердыми коммунальными отходами (далее - услуги) по цене, определенной в пределах утвержденного единого тарифа на услугу регионального оператора.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Объем и (или) масса твердых коммунальных отходов, места (площадки) накопления твер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дых коммунальных отходов, в том числе крупногабаритных отходов, способ складирования и периодичность вывоза, а также информация о размещении мест (площадок) накопления твердых коммунальных отходов определяются согласно Приложению № 1 к настоящему Договору.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1.3. Датой начала оказания услуг считается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«____» 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1.4. Перечень отходов Потребителя, принимаемых Региональным оператором предусмотрен в Приложении № 3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6"/>
        <w:numPr>
          <w:ilvl w:val="0"/>
          <w:numId w:val="6"/>
        </w:numPr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2" w:name="sub_2200"/>
      <w:r>
        <w:rPr>
          <w:rFonts w:ascii="Times New Roman" w:hAnsi="Times New Roman" w:cs="Times New Roman"/>
          <w:color w:val="000000"/>
          <w:sz w:val="20"/>
          <w:szCs w:val="20"/>
        </w:rPr>
        <w:t xml:space="preserve">Сроки и порядок оплаты по договору</w:t>
      </w:r>
      <w:bookmarkEnd w:id="2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4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Под расчётным периодом по настоящему договору понимается один календарный месяц.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pStyle w:val="704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Единый тариф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утверждается (устанавливается и изменяется) в установленном порядке уполномоченным органом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исполнительной власти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области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регулирования тарифов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(цен)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Краснодарского края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4"/>
        <w:ind w:firstLine="567"/>
        <w:jc w:val="both"/>
        <w:spacing w:line="22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изменения единого тарифа на услугу Регионального оператора такой тариф вступает в силу с даты вступления в силу соответствующего нормативно-правового акта уполномоченного органа исполнительной власти </w:t>
      </w:r>
      <w:r>
        <w:rPr>
          <w:rFonts w:ascii="Times New Roman" w:hAnsi="Times New Roman" w:cs="Times New Roman"/>
          <w:sz w:val="20"/>
          <w:szCs w:val="20"/>
        </w:rPr>
        <w:t xml:space="preserve">в области государственного регулирования тарифов (цен) </w:t>
      </w:r>
      <w:r>
        <w:rPr>
          <w:rFonts w:ascii="Times New Roman" w:hAnsi="Times New Roman" w:cs="Times New Roman"/>
          <w:sz w:val="20"/>
          <w:szCs w:val="20"/>
        </w:rPr>
        <w:t xml:space="preserve">Краснодарского края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Оплата услуг по настоящему Договору осуществляется по цене за 1 (один) </w:t>
      </w:r>
      <w:r>
        <w:rPr>
          <w:sz w:val="20"/>
          <w:szCs w:val="20"/>
        </w:rPr>
        <w:t xml:space="preserve">кубический метр твёрдых коммунальных отходов, определённой в пределах утверждённого в установленном порядке единого тарифа на услугу Регионального оператора, установленного Приказом №21/2021-ТКО от 15.12.2021 года «Об установлении единых тарифов на услугу </w:t>
      </w:r>
      <w:r>
        <w:rPr>
          <w:sz w:val="20"/>
          <w:szCs w:val="20"/>
        </w:rPr>
        <w:t xml:space="preserve">Р</w:t>
      </w:r>
      <w:r>
        <w:rPr>
          <w:sz w:val="20"/>
          <w:szCs w:val="20"/>
        </w:rPr>
        <w:t xml:space="preserve">егионального оператора по обращению с твердыми коммунальными отходами» Департаментом государственного регулирования тарифов Краснодарского края с последующими изменениями указанного приказа.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Цена за 1 (один) кубический метр составляет 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рублей 00 копеек, НДС не облагается.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Расчет размера ежемесячной платы предусмотрен в Приложении № 2 к настоящему </w:t>
      </w:r>
      <w:r>
        <w:rPr>
          <w:sz w:val="20"/>
          <w:szCs w:val="20"/>
        </w:rPr>
        <w:t xml:space="preserve">Договору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04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3" w:name="sub_2007"/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Региональный оператор представляет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отребителю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и УПД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/Акт оказанных услуг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истекший расчетный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период, за который производится оплата.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Потребитель имеет право подавать мотивированные и документально подтвержденные возражения по указанным документам в течение 5 (пяти) календарных дней, за пределами указанного срока услуги считаются принятыми в полном объеме и подлежат оплате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4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Потребитель оплачивает услуги по обращению с твёрдыми коммунальными отходами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срок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 10 (десятого) числа месяца, следующего за месяцем, в котором была оказана услуга по обращению с твё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рдыми коммунальными отходами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полученного от Регионального оператора счета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Сверка расчетов по настоящему договору проводится между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егиональным оператором и потребителем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 реже чем один раз в год по инициативе одной из сторон путем составления и подписания сторонами соответствующего акта.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факсограмма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телефонограмма, информационно-телекоммуникационная сеть "Интернет"), позволя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6"/>
        <w:numPr>
          <w:ilvl w:val="0"/>
          <w:numId w:val="6"/>
        </w:numPr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4" w:name="sub_2400"/>
      <w:r/>
      <w:bookmarkEnd w:id="3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Права и обязанности сторон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5" w:name="sub_2011"/>
      <w:r/>
      <w:bookmarkEnd w:id="4"/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.1.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Региональный оператор обязан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принимать твердые коммунальные отходы в объеме и (или) массе и в месте, которые предусмотрены в приложении к настоящему договору;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обеспечивать транспортирование, обработку, 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нергетическую утилизацию, утилизацию твердых коммунальных отходов путем производства из их органической части искусственных грунтов, обезвреживание и захоронение принятых твердых коммунальных отходов в соответствии с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представлять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д) не допускать повреждения контейнеров и (или) бункеров, принадлежащих потребителю на праве собственности или ином законном основании, при осуществлении вывоза твердых коммунальных отходов;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ж) осуществлять действия по подбору оброненных (просыпавшихся) при погрузке твердых коммунальных отходов и перемещению их в мусоровоз.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Региональный оператор имеет право: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обеспечивать учет объема и (или) массы твердых коммунальных отходов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инициировать проведение сверки расчетов по настоящему договору;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указывать в отношении контейнеров, используемых одним потребителем, объем, тип корпуса и ходовой части, а также способ захвата контейнера для целей обеспечения транспортирования твердых коммунальных отходов соответствующими транспортными средствами.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Потребитель обязан: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осуществлять складирование твердых коммунальных отходов в местах (площадках) накопления твердых коммунальных отходов, определенных приложением к настоящему договору, в соответствии с реестром мест (площадок) накопления твердых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отходов или иным способом в соответствии с Правилами обращения 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обеспечивать учет объема и (или) массы твердых коммунальных отходов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производить оплату по настоящему договору в порядке, размере и сроки, которые определены настоящим договором;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не допускать повреждения кон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тейнеров и (или) бункеров, сжигания твердых коммунальных отходов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твердыми коммунальными отходами;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д) определить лицо, ответственное за взаимодействие с региональным оператором по вопросам исполнения настоящего договора, и представить такую информацию региональному оператору;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е) уведоми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ть регионального оператора о переходе прав на объекты потребителя, указанные в настоящем договоре, к новому собственнику, а также об изменении иных документов и сведений, представленных региональному оператору в соответствии с положениями пунктов 14 и 15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равил обращения с твердыми коммунальными отходами, утвержденных постановлением Правительства Российской Федерации от 7 марта 2025 г. N 293 "О порядке обращения с твердыми коммунальными отходами", любым доступным способом (почтовое отправление, телеграмма,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факсограмма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ж) осуществлять разделение твердых коммунальных отходов по видам отходов, группам отходов и группам однородных отходов и складирование таких твердых коммунальных отходов в отдельных контейнера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х, в том числе в контейнерах для раздельного накопления и пакетах для соответствующих видов отходов, групп отходов и групп однородных отходов (раздельное накопление), в соответствии с порядком накопления (в том числе раздельного накопления) твердых коммуна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льных отходов, утвержденным исполнительным органом субъекта Российской Федерации, а также с учетом требований к обращению с группами однородных отходов I - V классов опасности, установленных Министерством природных ресурсов и экологии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Потребитель имеет право: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инициировать проведение сверки расчетов по настоящему договору;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инициировать внесение изменений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условия настоящего договора, не противоречащих положениям Правил обращения с твердыми коммунальными отходами, утвержденных постановлением Правительства Российской Федерации от 7 марта 2025 г. N 293 "О порядке обращения с твердыми коммунальными отходами";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получать иную информацию от регионального оператора, не противоречащую требованиям законодательства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6"/>
        <w:ind w:firstLine="709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/>
      <w:bookmarkStart w:id="6" w:name="sub_2500"/>
      <w:r/>
      <w:bookmarkEnd w:id="5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V. Порядок осуществления уч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 объема и (или) массы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696"/>
        <w:ind w:firstLine="709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рдых коммунальных отходов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ind w:firstLine="567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/>
      <w:bookmarkStart w:id="7" w:name="sub_2015"/>
      <w:r/>
      <w:bookmarkEnd w:id="6"/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4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Стороны согласились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производить учет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объема  и  (или)  массы тв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ердых  коммунальных  отходов  в  соответствии с Правилами коммерческого учета  объема и (или) массы твердых коммунальных отходов, утвержденными постановлением Правительства  Российской Федерации от 24 мая 2024 г. N 671 "О коммерческом учете объема и (или)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массы твердых коммунальных отходов",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следующим способом: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_________________________________________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_____________________________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______________________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________.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r>
    </w:p>
    <w:p>
      <w:pPr>
        <w:ind w:firstLine="567"/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pacing w:val="-5"/>
          <w:sz w:val="20"/>
          <w:szCs w:val="20"/>
        </w:rPr>
        <w:t xml:space="preserve">(указывается способ коммерческого учета объема и (или) массы твердых коммунальных отходов)</w:t>
      </w:r>
      <w:r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</w:r>
    </w:p>
    <w:p>
      <w:pPr>
        <w:pStyle w:val="696"/>
        <w:numPr>
          <w:ilvl w:val="0"/>
          <w:numId w:val="6"/>
        </w:numPr>
        <w:spacing w:before="0" w:after="0"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8" w:name="sub_2600"/>
      <w:r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 xml:space="preserve">Порядок фиксации нарушений по 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9" w:name="sub_2016"/>
      <w:r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нарушения региональным оператором обязательств по настоящему договору потребитель с участием представителя региона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льного оператора составляет акт о нарушении региональным оператором обязательств по настоящему договору (далее - акт) и вручает его представителю регионального оператора. При неявке представителя регионального оператора потребитель составляет акт в присутс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любым доступным способом, позволяющим подтвердить его получение адресатом.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потребителю.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лучае несогласия с содержанием акта региональный оператор вправе подать возражение в отношении акта (далее - возражение) с мотивированным указанием причин своего несогласия и направить возражение потребителю) в течение 3 рабочих дней со дня получения акта.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невозможности устранения нарушений в сроки, предложенные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потребителем,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региональный оператор предлагает иные сроки для устранения выявленных нарушений.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В случае если региональный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.4. В случае получения от регионального оператора возражения потребитель обязан рассмотреть возражение и в случае согласия с возражением внести соответствующие изменения в акт.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несогласия потребителя с возражением разногласия отражаются в акте и подлежат урегулированию в судебном порядке.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.5. Акт должен содержать: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сведения о заявителе (наименование, местонахождение, адрес);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сведения о нарушении соответствующих пунктов настоящего договора;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другие сведения по усмотрению стороны, в том числе материалы фото- и видеосъемки.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.6. Потребитель направляет копию акта в уполномоченный исполнительный орган субъекта Российской Федерации, с которым региональным оператором заключено соглашение об организации деятельности по обращению с твердыми коммунальными отходами.</w:t>
      </w:r>
      <w:bookmarkEnd w:id="9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6"/>
        <w:ind w:firstLine="709"/>
        <w:spacing w:before="0" w:after="0"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0" w:name="sub_2700"/>
      <w:r>
        <w:rPr>
          <w:rFonts w:ascii="Times New Roman" w:hAnsi="Times New Roman" w:cs="Times New Roman"/>
          <w:color w:val="000000"/>
          <w:sz w:val="20"/>
          <w:szCs w:val="20"/>
        </w:rPr>
        <w:t xml:space="preserve">V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Ответственность сторон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/>
      <w:bookmarkStart w:id="11" w:name="sub_2021"/>
      <w:r/>
      <w:bookmarkEnd w:id="10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.2. В случае неисполнения либо ненадлежащего исполнения потребителем обязательств по оплате услуг по настоящему договору региональный оператор вправе потребовать от потребителя уплаты неустойки в размере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1/130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(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одной сто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тридцатой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.3. В случае предоставления в ра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счетном периоде потребителю услуг с отклонениями,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должен был быть осуществлен вывоз твердых коммунальных отходов, размер платы за услуги за такой расчетный период снижается за каждый день отклонения на 3,3 процента размера платы, определенного за расчетный период, в котором произошло указанное отклонение.</w:t>
      </w:r>
      <w:bookmarkEnd w:id="11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6"/>
        <w:ind w:firstLine="709"/>
        <w:spacing w:before="0" w:after="0" w:line="245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2" w:name="sub_2900"/>
      <w:r>
        <w:rPr>
          <w:rFonts w:ascii="Times New Roman" w:hAnsi="Times New Roman" w:cs="Times New Roman"/>
          <w:color w:val="000000"/>
          <w:sz w:val="20"/>
          <w:szCs w:val="20"/>
        </w:rPr>
        <w:t xml:space="preserve">VII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Действие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4"/>
        <w:ind w:firstLine="567"/>
        <w:jc w:val="both"/>
        <w:spacing w:line="245" w:lineRule="auto"/>
        <w:rPr>
          <w:rFonts w:ascii="Times New Roman" w:hAnsi="Times New Roman" w:cs="Times New Roman"/>
          <w:spacing w:val="-4"/>
          <w:sz w:val="20"/>
          <w:szCs w:val="20"/>
        </w:rPr>
      </w:pPr>
      <w:r/>
      <w:bookmarkStart w:id="13" w:name="sub_2026"/>
      <w:r/>
      <w:bookmarkEnd w:id="12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7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 Настоящий договор заключается на срок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до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31 декабря 202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включительно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и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распространяется на отношения, фактически существующие между сторонами с 01 марта 2021 года.</w:t>
      </w:r>
      <w:r>
        <w:rPr>
          <w:rFonts w:ascii="Times New Roman" w:hAnsi="Times New Roman" w:cs="Times New Roman"/>
          <w:spacing w:val="-4"/>
          <w:sz w:val="20"/>
          <w:szCs w:val="20"/>
        </w:rPr>
      </w:r>
    </w:p>
    <w:p>
      <w:pPr>
        <w:ind w:firstLine="567"/>
        <w:spacing w:line="245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</w:t>
      </w:r>
      <w:r>
        <w:rPr>
          <w:rFonts w:ascii="Times New Roman" w:hAnsi="Times New Roman" w:cs="Times New Roman"/>
          <w:sz w:val="20"/>
          <w:szCs w:val="20"/>
        </w:rPr>
        <w:t xml:space="preserve">.2.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(изменении) либо о заключении нового договора на иных условиях.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45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</w:t>
      </w:r>
      <w:r>
        <w:rPr>
          <w:rFonts w:ascii="Times New Roman" w:hAnsi="Times New Roman" w:cs="Times New Roman"/>
          <w:sz w:val="20"/>
          <w:szCs w:val="20"/>
        </w:rPr>
        <w:t xml:space="preserve">.3. Настоящий договор может быть расторгнут до окончания срока его действия по соглашению сторон.</w:t>
      </w:r>
      <w:bookmarkStart w:id="14" w:name="sub_2028"/>
      <w:r/>
      <w:bookmarkEnd w:id="13"/>
      <w:r/>
      <w:r>
        <w:rPr>
          <w:rFonts w:ascii="Times New Roman" w:hAnsi="Times New Roman" w:cs="Times New Roman"/>
          <w:sz w:val="20"/>
          <w:szCs w:val="20"/>
        </w:rPr>
      </w:r>
    </w:p>
    <w:p>
      <w:pPr>
        <w:pStyle w:val="696"/>
        <w:ind w:firstLine="709"/>
        <w:spacing w:before="0" w:after="0"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5" w:name="_Hlk25142472"/>
      <w:r>
        <w:rPr>
          <w:rFonts w:ascii="Times New Roman" w:hAnsi="Times New Roman" w:cs="Times New Roman"/>
          <w:color w:val="000000"/>
          <w:sz w:val="20"/>
          <w:szCs w:val="20"/>
        </w:rPr>
        <w:t xml:space="preserve">VII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Разрешение споров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4"/>
        <w:ind w:firstLine="567"/>
        <w:jc w:val="both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16" w:name="sub_2101"/>
      <w:r/>
      <w:bookmarkEnd w:id="14"/>
      <w:r/>
      <w:bookmarkEnd w:id="15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8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Все споры и разногласия, возникшие в ходе исполнения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настоящего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договора или в связи с ним, разрешаются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торонами пут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ём переговоров либо </w:t>
      </w:r>
      <w:r>
        <w:rPr>
          <w:rFonts w:ascii="Times New Roman" w:hAnsi="Times New Roman" w:cs="Times New Roman"/>
          <w:sz w:val="20"/>
          <w:szCs w:val="20"/>
        </w:rPr>
        <w:t xml:space="preserve">направления и рассмотрения письменных претензий.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5"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.2. Сторона, получившая письменную претензию, должна рассмотреть такую претензию по существу, и направить другой стороне ответ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течение 10 (десяти) календарных дней с даты ее получения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17" w:name="_ref_1-1faab982682e4a"/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Разногласия, не урегулированные сторонами путём переговоров либо в претензионном порядке, подлежат рассмотрению в </w:t>
      </w:r>
      <w:r>
        <w:rPr>
          <w:rFonts w:ascii="Times New Roman" w:hAnsi="Times New Roman" w:cs="Times New Roman"/>
          <w:sz w:val="20"/>
          <w:szCs w:val="20"/>
        </w:rPr>
        <w:t xml:space="preserve">Арбитражном </w:t>
      </w:r>
      <w:r>
        <w:rPr>
          <w:rFonts w:ascii="Times New Roman" w:hAnsi="Times New Roman" w:cs="Times New Roman"/>
          <w:sz w:val="20"/>
          <w:szCs w:val="20"/>
        </w:rPr>
        <w:t xml:space="preserve">суде Краснодарского</w:t>
      </w:r>
      <w:r>
        <w:rPr>
          <w:rFonts w:ascii="Times New Roman" w:hAnsi="Times New Roman" w:cs="Times New Roman"/>
          <w:sz w:val="20"/>
          <w:szCs w:val="20"/>
        </w:rPr>
        <w:t xml:space="preserve"> края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.4. Стороны согласовали, что электронная переписка </w:t>
      </w:r>
      <w:r>
        <w:rPr>
          <w:rFonts w:ascii="Times New Roman" w:hAnsi="Times New Roman" w:cs="Times New Roman"/>
          <w:sz w:val="20"/>
          <w:szCs w:val="20"/>
        </w:rPr>
        <w:t xml:space="preserve">сторон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обмена корреспонденцией по 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осуществляемая в рамках выполнения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а также переписка по </w:t>
      </w:r>
      <w:r>
        <w:rPr>
          <w:rFonts w:ascii="Times New Roman" w:hAnsi="Times New Roman" w:cs="Times New Roman"/>
          <w:sz w:val="20"/>
          <w:szCs w:val="20"/>
        </w:rPr>
        <w:t xml:space="preserve">социальным м</w:t>
      </w:r>
      <w:r>
        <w:rPr>
          <w:rFonts w:ascii="Times New Roman" w:hAnsi="Times New Roman" w:cs="Times New Roman"/>
          <w:sz w:val="20"/>
          <w:szCs w:val="20"/>
        </w:rPr>
        <w:t xml:space="preserve">ессенджерам и/или разговоры по телефонным номерам, указан</w:t>
      </w:r>
      <w:r>
        <w:rPr>
          <w:rFonts w:ascii="Times New Roman" w:hAnsi="Times New Roman" w:cs="Times New Roman"/>
          <w:sz w:val="20"/>
          <w:szCs w:val="20"/>
        </w:rPr>
        <w:t xml:space="preserve">н</w:t>
      </w:r>
      <w:r>
        <w:rPr>
          <w:rFonts w:ascii="Times New Roman" w:hAnsi="Times New Roman" w:cs="Times New Roman"/>
          <w:sz w:val="20"/>
          <w:szCs w:val="20"/>
        </w:rPr>
        <w:t xml:space="preserve">ы</w:t>
      </w:r>
      <w:r>
        <w:rPr>
          <w:rFonts w:ascii="Times New Roman" w:hAnsi="Times New Roman" w:cs="Times New Roman"/>
          <w:sz w:val="20"/>
          <w:szCs w:val="20"/>
        </w:rPr>
        <w:t xml:space="preserve">м</w:t>
      </w:r>
      <w:r>
        <w:rPr>
          <w:rFonts w:ascii="Times New Roman" w:hAnsi="Times New Roman" w:cs="Times New Roman"/>
          <w:sz w:val="20"/>
          <w:szCs w:val="20"/>
        </w:rPr>
        <w:t xml:space="preserve"> в настоящем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оговоре, имеет юридическую силу и является письменным доказательством в соответстви</w:t>
      </w:r>
      <w:r>
        <w:rPr>
          <w:rFonts w:ascii="Times New Roman" w:hAnsi="Times New Roman" w:cs="Times New Roman"/>
          <w:sz w:val="20"/>
          <w:szCs w:val="20"/>
        </w:rPr>
        <w:t xml:space="preserve">и нормами гражданского </w:t>
      </w:r>
      <w:r>
        <w:rPr>
          <w:rFonts w:ascii="Times New Roman" w:hAnsi="Times New Roman" w:cs="Times New Roman"/>
          <w:sz w:val="20"/>
          <w:szCs w:val="20"/>
        </w:rPr>
        <w:t xml:space="preserve">процессуального </w:t>
      </w:r>
      <w:r>
        <w:rPr>
          <w:rFonts w:ascii="Times New Roman" w:hAnsi="Times New Roman" w:cs="Times New Roman"/>
          <w:sz w:val="20"/>
          <w:szCs w:val="20"/>
        </w:rPr>
        <w:t xml:space="preserve">законодательства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Датой передачи соответствующего сообщения считается день его отправления.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уведомления и сообщения, отправленные 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торонами друг другу по адресам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признаются официальной перепиской в рамках настоящего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оговора.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за получение сообщений и уведомлений вышеуказанным способом лежит на получающей 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 форс-мажорных обстоятельств.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Стороны соглашаются, что все документы по настоящему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оговору, передача которых необходима в оригинале без использования электронной почты, могут вручаться путем доставки лично в руки под расписку (проставление даты и подписи о получении на копии доставленного документа) непосредственно представителю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с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тороны настоящего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оговора. Датой получения (датой доставки), соответственно, будет дата, проставленная на копии полученного документа. Уполномоченным на получ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ение документов представителем с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тороны является любой сотрудник, находящийся по адресу, указанному в реквизитах настоящего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оговора, на момент доставки документа. Также указанные документы могут доставляться курьерскими и почтовыми службами.</w:t>
      </w:r>
      <w:r>
        <w:rPr>
          <w:rFonts w:ascii="Times New Roman" w:hAnsi="Times New Roman" w:cs="Times New Roman"/>
          <w:spacing w:val="-2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настоящим подтверждают, что в процессе взаимодействия в рамках настоящего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оговора надлежащим способом отправки и получения информации, да</w:t>
      </w:r>
      <w:r>
        <w:rPr>
          <w:rFonts w:ascii="Times New Roman" w:hAnsi="Times New Roman" w:cs="Times New Roman"/>
          <w:sz w:val="20"/>
          <w:szCs w:val="20"/>
        </w:rPr>
        <w:t xml:space="preserve">нных, заявок, документов </w:t>
      </w:r>
      <w:r>
        <w:rPr>
          <w:rFonts w:ascii="Times New Roman" w:hAnsi="Times New Roman" w:cs="Times New Roman"/>
          <w:sz w:val="20"/>
          <w:szCs w:val="20"/>
        </w:rPr>
        <w:t xml:space="preserve">(вся информация, данные и документы, полученные или отправленн</w:t>
      </w:r>
      <w:r>
        <w:rPr>
          <w:rFonts w:ascii="Times New Roman" w:hAnsi="Times New Roman" w:cs="Times New Roman"/>
          <w:sz w:val="20"/>
          <w:szCs w:val="20"/>
        </w:rPr>
        <w:t xml:space="preserve">ые таким способом имеют юридическую силу, а скриншоты и сканы, полученные таким способом являются доказательством в случае судебного разбирательства без нотариального удостоверения) является взаимодействие по телефонам и адресам электронной почты, указанны</w:t>
      </w:r>
      <w:r>
        <w:rPr>
          <w:rFonts w:ascii="Times New Roman" w:hAnsi="Times New Roman" w:cs="Times New Roman"/>
          <w:sz w:val="20"/>
          <w:szCs w:val="20"/>
        </w:rPr>
        <w:t xml:space="preserve">м</w:t>
      </w:r>
      <w:r>
        <w:rPr>
          <w:rFonts w:ascii="Times New Roman" w:hAnsi="Times New Roman" w:cs="Times New Roman"/>
          <w:sz w:val="20"/>
          <w:szCs w:val="20"/>
        </w:rPr>
        <w:t xml:space="preserve"> в настоящем </w:t>
      </w: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оговоре и приложениях к нему. </w:t>
      </w:r>
      <w:bookmarkEnd w:id="17"/>
      <w:r>
        <w:rPr>
          <w:rFonts w:ascii="Times New Roman" w:hAnsi="Times New Roman" w:cs="Times New Roman"/>
          <w:sz w:val="20"/>
          <w:szCs w:val="20"/>
        </w:rPr>
      </w:r>
    </w:p>
    <w:p>
      <w:pPr>
        <w:pStyle w:val="696"/>
        <w:ind w:firstLine="709"/>
        <w:spacing w:before="0" w:after="0"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X. Прочие условия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8" w:name="sub_2029"/>
      <w:r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Все изменения, которые вносятся в настоящий договор, считаются действительными, если они (в письменной форме) подписаны уполномоченными на то лицами сторон и заверены печатями сторон (при их наличии).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изменения наименова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При исполнении настоящего договора стороны обязуются руководствоваться законодательством Российской Федерации, в том числе положен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иями Федерального закона "Об отходах производства 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твердыми коммунальными отходами.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.4. Настоящий договор составлен в 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(двух)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экземплярах, имеющих равную юридическую силу.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.5. Приложение к настоящему договору является его неотъемлемой частью.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.6. Спорные вопросы между сторонами урегулируются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bookmarkEnd w:id="18"/>
      <w:r>
        <w:rPr>
          <w:rFonts w:ascii="Times New Roman" w:hAnsi="Times New Roman" w:cs="Times New Roman"/>
          <w:color w:val="000000"/>
          <w:sz w:val="20"/>
          <w:szCs w:val="20"/>
        </w:rPr>
      </w:r>
    </w:p>
    <w:tbl>
      <w:tblPr>
        <w:tblStyle w:val="711"/>
        <w:tblW w:w="9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98"/>
        <w:gridCol w:w="4856"/>
      </w:tblGrid>
      <w:tr>
        <w:tblPrEx/>
        <w:trPr>
          <w:trHeight w:val="196"/>
        </w:trPr>
        <w:tc>
          <w:tcPr>
            <w:tcW w:w="5098" w:type="dxa"/>
            <w:textDirection w:val="lrTb"/>
            <w:noWrap w:val="false"/>
          </w:tcPr>
          <w:p>
            <w:pPr>
              <w:pStyle w:val="70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Региональный оператор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Потребитель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tcW w:w="5098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Экотехпром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9"/>
        </w:trPr>
        <w:tc>
          <w:tcPr>
            <w:tcW w:w="5098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государственной 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140080, РФ, Московская обл.,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Лыткарино,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Лыткарино, тер. промзона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Тураево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стр. 14,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 Р, этаж 2, пом.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ИНН/КПП 5026014960/502701001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ОКПО 68151408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1105027011110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Фактический адрес: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353451, Краснодарский край, г.-к. Анапа, ул. Парковая, 33 этаж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353451, Краснодарский край, г.-к. Анапа, ул. Парковая, 33 этаж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р/с 40702810330000050830 в ПАО «Сбербанк» Краснодарское отделение №8619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к/с 30101810100000000602,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040349602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8(861)201-89-99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etp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firstLine="0"/>
        <w:rPr>
          <w:rStyle w:val="701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rPr>
          <w:rStyle w:val="701"/>
          <w:rFonts w:ascii="Times New Roman" w:hAnsi="Times New Roman" w:cs="Times New Roman"/>
          <w:color w:val="000000"/>
          <w:sz w:val="20"/>
          <w:szCs w:val="20"/>
        </w:rPr>
      </w:pPr>
      <w:r/>
      <w:bookmarkStart w:id="19" w:name="_Hlk206585870"/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 xml:space="preserve">от Регионального оператора</w:t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 xml:space="preserve">от Потребителя</w:t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b/>
          <w:color w:val="000000"/>
          <w:sz w:val="20"/>
          <w:szCs w:val="20"/>
        </w:rPr>
      </w:pPr>
      <w:r/>
      <w:bookmarkStart w:id="20" w:name="_Hlk1029682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/</w:t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 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 /</w:t>
      </w:r>
      <w:bookmarkEnd w:id="20"/>
      <w:r/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rPr>
          <w:rStyle w:val="701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 xml:space="preserve">МП</w:t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 xml:space="preserve">МП</w:t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rPr>
          <w:rStyle w:val="701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bookmarkEnd w:id="19"/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rPr>
          <w:rStyle w:val="701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rPr>
          <w:rStyle w:val="701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rPr>
          <w:rStyle w:val="701"/>
          <w:rFonts w:ascii="Times New Roman" w:hAnsi="Times New Roman" w:cs="Times New Roman"/>
          <w:color w:val="000000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284" w:right="849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9498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Приложение№1</w:t>
      </w:r>
      <w:bookmarkStart w:id="21" w:name="_Hlk25142610"/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9498" w:firstLine="0"/>
        <w:spacing w:line="223" w:lineRule="auto"/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к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 Договору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№ _______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_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_ от________________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20___г.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</w:r>
    </w:p>
    <w:p>
      <w:pPr>
        <w:ind w:firstLine="9498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на оказание услуг по обращению с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9498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твёрдыми коммунальными отходами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9498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по Крымской зоне деятельности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9498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Регионального оператора в Краснодарском крае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для юридических лиц </w:t>
      </w:r>
      <w:bookmarkEnd w:id="21"/>
      <w:r/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ИНФОРМАЦИЯ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 предмету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Договора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на оказание услуг по обращению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твердыми коммунальными отходами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417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4"/>
        <w:gridCol w:w="2098"/>
        <w:gridCol w:w="1644"/>
        <w:gridCol w:w="1814"/>
        <w:gridCol w:w="1814"/>
        <w:gridCol w:w="1304"/>
        <w:gridCol w:w="3517"/>
      </w:tblGrid>
      <w:tr>
        <w:tblPrEx/>
        <w:trPr>
          <w:trHeight w:val="2278"/>
        </w:trPr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Наименование источника образования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Местонахождение источника образования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Количество принимаемых твердых коммунальных отходов (куб. метров или тонн)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 (площадка) накопления или место погрузки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 (площадка) накопления или место погрузки крупногабаритных отходов (при наличии)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График вывоза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35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Способ складирования твердых коммунальных отходов в соответствии с </w:t>
            </w:r>
            <w:hyperlink w:tooltip="ПРАВИЛА ОБРАЩЕНИЯ С ТВЕРДЫМИ КОММУНАЛЬНЫМИ ОТХОДАМИ" w:anchor="P35" w:history="1">
              <w:r>
                <w:rPr>
                  <w:rFonts w:ascii="Times New Roman" w:hAnsi="Times New Roman" w:cs="Times New Roman" w:eastAsiaTheme="minorEastAsia"/>
                  <w:b/>
                  <w:sz w:val="20"/>
                  <w:szCs w:val="20"/>
                </w:rPr>
                <w:t xml:space="preserve">Правилами</w:t>
              </w:r>
            </w:hyperlink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35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351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11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12"/>
        <w:gridCol w:w="6627"/>
      </w:tblGrid>
      <w:tr>
        <w:tblPrEx/>
        <w:trPr/>
        <w:tc>
          <w:tcPr>
            <w:tcW w:w="751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Регионального оператора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/___________________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2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hanging="284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№2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hanging="284"/>
        <w:spacing w:line="223" w:lineRule="auto"/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к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Договору 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№ ____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__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__ от_____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__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______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20___г.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</w:r>
    </w:p>
    <w:p>
      <w:pPr>
        <w:ind w:firstLine="10206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на оказание услуг по обращению с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твёрдыми коммунальными отходами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по Крымской зоне деятельности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Регионального оператора в Краснодарском крае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для юридических лиц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</w:r>
    </w:p>
    <w:p>
      <w:pPr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"/>
        <w:gridCol w:w="539"/>
        <w:gridCol w:w="539"/>
        <w:gridCol w:w="1702"/>
        <w:gridCol w:w="1477"/>
        <w:gridCol w:w="2105"/>
        <w:gridCol w:w="1365"/>
        <w:gridCol w:w="2614"/>
        <w:gridCol w:w="1093"/>
        <w:gridCol w:w="1070"/>
        <w:gridCol w:w="148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Адрес объекта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Количество расчетных единиц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Норматив на 1 ед. (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Объем принимаемых ТКО в месяц, 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Месяц оказания услуги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Единый тариф на услугу регионального оператора, руб./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Ставка НДС (%)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Сумма НДС (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Общая сумма оплаты за ТКО, 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8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9"/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11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55"/>
        <w:gridCol w:w="6910"/>
      </w:tblGrid>
      <w:tr>
        <w:tblPrEx/>
        <w:trPr/>
        <w:tc>
          <w:tcPr>
            <w:tcW w:w="765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Регионального оператора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</w:t>
            </w:r>
            <w:r>
              <w:t xml:space="preserve">___________________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22" w:name="_GoBack"/>
      <w:r/>
      <w:bookmarkEnd w:id="22"/>
      <w:r/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0490" w:hanging="284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Приложение№ 3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hanging="284"/>
        <w:spacing w:line="223" w:lineRule="auto"/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к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Договору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№ ______ от_____________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20___г.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auto"/>
          <w:sz w:val="20"/>
          <w:szCs w:val="20"/>
        </w:rPr>
      </w:r>
    </w:p>
    <w:p>
      <w:pPr>
        <w:ind w:firstLine="10206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на оказание услуг по обращению с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твёрдыми коммунальными отходами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по Крымской зоне деятельности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Регионального оператора в Краснодарском крае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1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для юридических лиц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</w:r>
    </w:p>
    <w:p>
      <w:pPr>
        <w:tabs>
          <w:tab w:val="left" w:pos="1233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widowControl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Перечень твердых коммунальных отходов Потребителя.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spacing w:after="160" w:line="259" w:lineRule="auto"/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/>
      </w:r>
      <w:bookmarkStart w:id="23" w:name="Приложение3_АБtbl"/>
      <w:r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⁠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23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1124"/>
        <w:gridCol w:w="4962"/>
        <w:gridCol w:w="1984"/>
        <w:gridCol w:w="2552"/>
        <w:gridCol w:w="3969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2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6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Наименование отходов в соответствии с ФККО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Код по ФККО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Класс опасности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Объем в мес. (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.)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2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6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</w:tbl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11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85"/>
        <w:gridCol w:w="7280"/>
      </w:tblGrid>
      <w:tr>
        <w:tblPrEx/>
        <w:trPr/>
        <w:tc>
          <w:tcPr>
            <w:tcW w:w="728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Регионального оператора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28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10"/>
      <w:footnotePr/>
      <w:endnotePr/>
      <w:type w:val="nextPage"/>
      <w:pgSz w:w="16838" w:h="11906" w:orient="landscape"/>
      <w:pgMar w:top="709" w:right="1134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Arimo">
    <w:panose1 w:val="020B0604030504040204"/>
  </w:font>
  <w:font w:name="Courier New">
    <w:panose1 w:val="020703090202050204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08377313"/>
      <w:docPartObj>
        <w:docPartGallery w:val="Page Numbers (Top of Page)"/>
        <w:docPartUnique w:val="true"/>
      </w:docPartObj>
      <w:rPr/>
    </w:sdtPr>
    <w:sdtContent>
      <w:p>
        <w:pPr>
          <w:pStyle w:val="706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7</w:t>
        </w:r>
        <w:r>
          <w:rPr>
            <w:sz w:val="20"/>
            <w:szCs w:val="20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46" w:hanging="12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1850" w:hanging="120"/>
      </w:pPr>
    </w:lvl>
    <w:lvl w:ilvl="2">
      <w:start w:val="1"/>
      <w:numFmt w:val="bullet"/>
      <w:isLgl w:val="false"/>
      <w:suff w:val="tab"/>
      <w:lvlText w:val="•"/>
      <w:lvlJc w:val="left"/>
      <w:pPr>
        <w:ind w:left="2761" w:hanging="120"/>
      </w:pPr>
    </w:lvl>
    <w:lvl w:ilvl="3">
      <w:start w:val="1"/>
      <w:numFmt w:val="bullet"/>
      <w:isLgl w:val="false"/>
      <w:suff w:val="tab"/>
      <w:lvlText w:val="•"/>
      <w:lvlJc w:val="left"/>
      <w:pPr>
        <w:ind w:left="3671" w:hanging="120"/>
      </w:pPr>
    </w:lvl>
    <w:lvl w:ilvl="4">
      <w:start w:val="1"/>
      <w:numFmt w:val="bullet"/>
      <w:isLgl w:val="false"/>
      <w:suff w:val="tab"/>
      <w:lvlText w:val="•"/>
      <w:lvlJc w:val="left"/>
      <w:pPr>
        <w:ind w:left="4582" w:hanging="120"/>
      </w:pPr>
    </w:lvl>
    <w:lvl w:ilvl="5">
      <w:start w:val="1"/>
      <w:numFmt w:val="bullet"/>
      <w:isLgl w:val="false"/>
      <w:suff w:val="tab"/>
      <w:lvlText w:val="•"/>
      <w:lvlJc w:val="left"/>
      <w:pPr>
        <w:ind w:left="5493" w:hanging="120"/>
      </w:pPr>
    </w:lvl>
    <w:lvl w:ilvl="6">
      <w:start w:val="1"/>
      <w:numFmt w:val="bullet"/>
      <w:isLgl w:val="false"/>
      <w:suff w:val="tab"/>
      <w:lvlText w:val="•"/>
      <w:lvlJc w:val="left"/>
      <w:pPr>
        <w:ind w:left="6403" w:hanging="120"/>
      </w:pPr>
    </w:lvl>
    <w:lvl w:ilvl="7">
      <w:start w:val="1"/>
      <w:numFmt w:val="bullet"/>
      <w:isLgl w:val="false"/>
      <w:suff w:val="tab"/>
      <w:lvlText w:val="•"/>
      <w:lvlJc w:val="left"/>
      <w:pPr>
        <w:ind w:left="7314" w:hanging="120"/>
      </w:pPr>
    </w:lvl>
    <w:lvl w:ilvl="8">
      <w:start w:val="1"/>
      <w:numFmt w:val="bullet"/>
      <w:isLgl w:val="false"/>
      <w:suff w:val="tab"/>
      <w:lvlText w:val="•"/>
      <w:lvlJc w:val="left"/>
      <w:pPr>
        <w:ind w:left="8225" w:hanging="12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360"/>
      </w:pPr>
      <w:rPr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2"/>
      <w:numFmt w:val="decimal"/>
      <w:isLgl w:val="false"/>
      <w:suff w:val="tab"/>
      <w:lvlText w:val="%1.%2."/>
      <w:lvlJc w:val="left"/>
      <w:pPr>
        <w:ind w:left="1189" w:hanging="480"/>
      </w:pPr>
      <w:rPr>
        <w:b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9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7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7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06"/>
    <w:uiPriority w:val="99"/>
  </w:style>
  <w:style w:type="character" w:styleId="45">
    <w:name w:val="Footer Char"/>
    <w:basedOn w:val="697"/>
    <w:link w:val="708"/>
    <w:uiPriority w:val="99"/>
  </w:style>
  <w:style w:type="paragraph" w:styleId="46">
    <w:name w:val="Caption"/>
    <w:basedOn w:val="695"/>
    <w:next w:val="69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7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7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7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696">
    <w:name w:val="Heading 1"/>
    <w:basedOn w:val="695"/>
    <w:next w:val="695"/>
    <w:link w:val="700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basedOn w:val="697"/>
    <w:link w:val="696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701" w:customStyle="1">
    <w:name w:val="Цветовое выделение"/>
    <w:uiPriority w:val="99"/>
    <w:rPr>
      <w:b/>
      <w:bCs/>
      <w:color w:val="26282f"/>
    </w:rPr>
  </w:style>
  <w:style w:type="character" w:styleId="702" w:customStyle="1">
    <w:name w:val="Гипертекстовая ссылка"/>
    <w:uiPriority w:val="99"/>
    <w:rPr>
      <w:b w:val="0"/>
      <w:bCs w:val="0"/>
      <w:color w:val="106bbe"/>
    </w:rPr>
  </w:style>
  <w:style w:type="paragraph" w:styleId="703" w:customStyle="1">
    <w:name w:val="Нормальный (таблица)"/>
    <w:basedOn w:val="695"/>
    <w:next w:val="695"/>
    <w:uiPriority w:val="99"/>
    <w:pPr>
      <w:ind w:firstLine="0"/>
    </w:pPr>
  </w:style>
  <w:style w:type="paragraph" w:styleId="704" w:customStyle="1">
    <w:name w:val="Таблицы (моноширинный)"/>
    <w:basedOn w:val="695"/>
    <w:next w:val="695"/>
    <w:uiPriority w:val="99"/>
    <w:pPr>
      <w:ind w:firstLine="0"/>
      <w:jc w:val="left"/>
    </w:pPr>
    <w:rPr>
      <w:rFonts w:ascii="Courier New" w:hAnsi="Courier New" w:cs="Courier New"/>
    </w:rPr>
  </w:style>
  <w:style w:type="paragraph" w:styleId="705">
    <w:name w:val="List Paragraph"/>
    <w:basedOn w:val="695"/>
    <w:uiPriority w:val="34"/>
    <w:qFormat/>
    <w:pPr>
      <w:contextualSpacing/>
      <w:ind w:left="720"/>
    </w:pPr>
  </w:style>
  <w:style w:type="paragraph" w:styleId="706">
    <w:name w:val="Header"/>
    <w:basedOn w:val="695"/>
    <w:link w:val="7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7" w:customStyle="1">
    <w:name w:val="Верхний колонтитул Знак"/>
    <w:basedOn w:val="697"/>
    <w:link w:val="706"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708">
    <w:name w:val="Footer"/>
    <w:basedOn w:val="695"/>
    <w:link w:val="7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9" w:customStyle="1">
    <w:name w:val="Нижний колонтитул Знак"/>
    <w:basedOn w:val="697"/>
    <w:link w:val="708"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710">
    <w:name w:val="Hyperlink"/>
    <w:basedOn w:val="697"/>
    <w:uiPriority w:val="99"/>
    <w:unhideWhenUsed/>
    <w:rPr>
      <w:color w:val="0563c1" w:themeColor="hyperlink"/>
      <w:u w:val="single"/>
    </w:rPr>
  </w:style>
  <w:style w:type="table" w:styleId="711">
    <w:name w:val="Table Grid"/>
    <w:basedOn w:val="69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2" w:customStyle="1">
    <w:name w:val="Неразрешенное упоминание1"/>
    <w:basedOn w:val="697"/>
    <w:uiPriority w:val="99"/>
    <w:semiHidden/>
    <w:unhideWhenUsed/>
    <w:rPr>
      <w:color w:val="605e5c"/>
      <w:shd w:val="clear" w:color="auto" w:fill="e1dfdd"/>
    </w:rPr>
  </w:style>
  <w:style w:type="paragraph" w:styleId="713">
    <w:name w:val="Balloon Text"/>
    <w:basedOn w:val="695"/>
    <w:link w:val="71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4" w:customStyle="1">
    <w:name w:val="Текст выноски Знак"/>
    <w:basedOn w:val="697"/>
    <w:link w:val="71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15">
    <w:name w:val="annotation reference"/>
    <w:basedOn w:val="697"/>
    <w:uiPriority w:val="99"/>
    <w:semiHidden/>
    <w:unhideWhenUsed/>
    <w:rPr>
      <w:sz w:val="16"/>
      <w:szCs w:val="16"/>
    </w:rPr>
  </w:style>
  <w:style w:type="paragraph" w:styleId="716">
    <w:name w:val="annotation text"/>
    <w:basedOn w:val="695"/>
    <w:link w:val="717"/>
    <w:uiPriority w:val="99"/>
    <w:semiHidden/>
    <w:unhideWhenUsed/>
    <w:pPr>
      <w:ind w:firstLine="0"/>
      <w:jc w:val="left"/>
    </w:pPr>
    <w:rPr>
      <w:rFonts w:ascii="Times New Roman" w:hAnsi="Times New Roman" w:eastAsia="Arimo" w:cs="Times New Roman"/>
      <w:color w:val="000000"/>
      <w:sz w:val="20"/>
      <w:szCs w:val="20"/>
    </w:rPr>
  </w:style>
  <w:style w:type="character" w:styleId="717" w:customStyle="1">
    <w:name w:val="Текст примечания Знак"/>
    <w:basedOn w:val="697"/>
    <w:link w:val="716"/>
    <w:uiPriority w:val="99"/>
    <w:semiHidden/>
    <w:rPr>
      <w:rFonts w:ascii="Times New Roman" w:hAnsi="Times New Roman" w:eastAsia="Arimo" w:cs="Times New Roman"/>
      <w:color w:val="000000"/>
      <w:sz w:val="20"/>
      <w:szCs w:val="20"/>
      <w:lang w:eastAsia="ru-RU"/>
    </w:rPr>
  </w:style>
  <w:style w:type="paragraph" w:styleId="718">
    <w:name w:val="annotation subject"/>
    <w:basedOn w:val="716"/>
    <w:next w:val="716"/>
    <w:link w:val="719"/>
    <w:uiPriority w:val="99"/>
    <w:semiHidden/>
    <w:unhideWhenUsed/>
    <w:pPr>
      <w:ind w:firstLine="720"/>
      <w:jc w:val="both"/>
    </w:pPr>
    <w:rPr>
      <w:rFonts w:ascii="Times New Roman CYR" w:hAnsi="Times New Roman CYR" w:eastAsia="Times New Roman" w:cs="Times New Roman CYR"/>
      <w:b/>
      <w:bCs/>
      <w:color w:val="auto"/>
    </w:rPr>
  </w:style>
  <w:style w:type="character" w:styleId="719" w:customStyle="1">
    <w:name w:val="Тема примечания Знак"/>
    <w:basedOn w:val="717"/>
    <w:link w:val="718"/>
    <w:uiPriority w:val="99"/>
    <w:semiHidden/>
    <w:rPr>
      <w:rFonts w:ascii="Times New Roman CYR" w:hAnsi="Times New Roman CYR" w:eastAsia="Times New Roman" w:cs="Times New Roman CYR"/>
      <w:b/>
      <w:bCs/>
      <w:color w:val="000000"/>
      <w:sz w:val="20"/>
      <w:szCs w:val="20"/>
      <w:lang w:eastAsia="ru-RU"/>
    </w:rPr>
  </w:style>
  <w:style w:type="paragraph" w:styleId="720">
    <w:name w:val="Body Text"/>
    <w:basedOn w:val="695"/>
    <w:link w:val="721"/>
    <w:uiPriority w:val="1"/>
    <w:qFormat/>
    <w:pPr>
      <w:ind w:firstLine="0"/>
      <w:jc w:val="left"/>
    </w:pPr>
    <w:rPr>
      <w:rFonts w:ascii="Arial" w:hAnsi="Arial" w:eastAsia="Arial" w:cs="Arial"/>
      <w:sz w:val="14"/>
      <w:szCs w:val="14"/>
      <w:lang w:eastAsia="en-US"/>
    </w:rPr>
  </w:style>
  <w:style w:type="character" w:styleId="721" w:customStyle="1">
    <w:name w:val="Основной текст Знак"/>
    <w:basedOn w:val="697"/>
    <w:link w:val="720"/>
    <w:uiPriority w:val="1"/>
    <w:rPr>
      <w:rFonts w:ascii="Arial" w:hAnsi="Arial" w:eastAsia="Arial" w:cs="Arial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Артём Федотовских</cp:lastModifiedBy>
  <cp:revision>65</cp:revision>
  <dcterms:created xsi:type="dcterms:W3CDTF">2022-06-09T10:09:00Z</dcterms:created>
  <dcterms:modified xsi:type="dcterms:W3CDTF">2025-09-02T11:52:38Z</dcterms:modified>
</cp:coreProperties>
</file>