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63" w:right="4" w:firstLine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Форма типового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p>
      <w:pPr>
        <w:ind w:left="6663" w:right="4" w:firstLine="0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на оказание услуг по обращению с твердыми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коммунальными отходами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</w:r>
    </w:p>
    <w:p>
      <w:pPr>
        <w:ind w:left="6663" w:right="4" w:firstLine="0"/>
        <w:jc w:val="right"/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для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юридических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лиц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(223-ФЗ)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r>
    </w:p>
    <w:p>
      <w:pPr>
        <w:pStyle w:val="698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ТИПОВОЙ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на оказание услуг по обращению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Крымской зоне деятельности Регионального оператора в Краснодарском крае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» __________ 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ответственностью «Экотехпром» (ООО «Экотехпром»)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0"/>
          <w:szCs w:val="20"/>
        </w:rPr>
        <w:t xml:space="preserve">Региональный оператор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25142269"/>
      <w:r>
        <w:rPr>
          <w:rFonts w:ascii="Times New Roman" w:hAnsi="Times New Roman" w:cs="Times New Roman"/>
          <w:sz w:val="20"/>
          <w:szCs w:val="20"/>
        </w:rPr>
        <w:t xml:space="preserve">в лице ____</w:t>
      </w:r>
      <w:r>
        <w:rPr>
          <w:rFonts w:ascii="Times New Roman" w:hAnsi="Times New Roman" w:cs="Times New Roman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______________________, действующего на основании _________________________________________, с одной стороны, и</w:t>
      </w:r>
      <w:bookmarkEnd w:id="0"/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spacing w:line="252" w:lineRule="auto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ind w:firstLine="708"/>
        <w:spacing w:line="252" w:lineRule="auto"/>
        <w:rPr>
          <w:color w:val="000000"/>
          <w:sz w:val="20"/>
          <w:szCs w:val="20"/>
        </w:rPr>
      </w:pPr>
      <w:r>
        <w:rPr>
          <w:spacing w:val="-1"/>
          <w:sz w:val="20"/>
          <w:szCs w:val="20"/>
        </w:rPr>
        <w:t xml:space="preserve">_______________________</w:t>
      </w:r>
      <w:r>
        <w:rPr>
          <w:spacing w:val="-1"/>
          <w:sz w:val="20"/>
          <w:szCs w:val="20"/>
        </w:rPr>
        <w:t xml:space="preserve">________</w:t>
      </w:r>
      <w:r>
        <w:rPr>
          <w:spacing w:val="-1"/>
          <w:sz w:val="20"/>
          <w:szCs w:val="20"/>
        </w:rPr>
        <w:t xml:space="preserve">_______</w:t>
      </w:r>
      <w:r>
        <w:rPr>
          <w:b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именуемое(</w:t>
      </w:r>
      <w:r>
        <w:rPr>
          <w:color w:val="000000"/>
          <w:sz w:val="20"/>
          <w:szCs w:val="20"/>
        </w:rPr>
        <w:t xml:space="preserve">ый</w:t>
      </w:r>
      <w:r>
        <w:rPr>
          <w:color w:val="000000"/>
          <w:sz w:val="20"/>
          <w:szCs w:val="20"/>
        </w:rPr>
        <w:t xml:space="preserve">) в дальнейшем </w:t>
      </w:r>
      <w:r>
        <w:rPr>
          <w:b/>
          <w:color w:val="000000"/>
          <w:sz w:val="20"/>
          <w:szCs w:val="20"/>
        </w:rPr>
        <w:t xml:space="preserve">Потребитель</w:t>
      </w:r>
      <w:r>
        <w:rPr>
          <w:b/>
          <w:spacing w:val="2"/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 xml:space="preserve">в лице</w:t>
      </w:r>
      <w:r>
        <w:rPr>
          <w:b/>
          <w:spacing w:val="2"/>
          <w:sz w:val="20"/>
          <w:szCs w:val="20"/>
        </w:rPr>
        <w:t xml:space="preserve"> _______________________________________</w:t>
      </w:r>
      <w:r>
        <w:rPr>
          <w:b/>
          <w:spacing w:val="2"/>
          <w:sz w:val="20"/>
          <w:szCs w:val="20"/>
        </w:rPr>
        <w:t xml:space="preserve">________</w:t>
      </w:r>
      <w:r>
        <w:rPr>
          <w:b/>
          <w:spacing w:val="2"/>
          <w:sz w:val="20"/>
          <w:szCs w:val="20"/>
        </w:rPr>
        <w:t xml:space="preserve">______</w:t>
      </w:r>
      <w:r>
        <w:rPr>
          <w:b/>
          <w:spacing w:val="2"/>
          <w:sz w:val="20"/>
          <w:szCs w:val="20"/>
        </w:rPr>
        <w:t xml:space="preserve">_</w:t>
      </w:r>
      <w:r>
        <w:rPr>
          <w:b/>
          <w:spacing w:val="2"/>
          <w:sz w:val="20"/>
          <w:szCs w:val="20"/>
        </w:rPr>
        <w:t xml:space="preserve">____, </w:t>
      </w:r>
      <w:r>
        <w:rPr>
          <w:spacing w:val="2"/>
          <w:sz w:val="20"/>
          <w:szCs w:val="20"/>
        </w:rPr>
        <w:t xml:space="preserve">действующего на основании</w:t>
      </w:r>
      <w:r>
        <w:rPr>
          <w:b/>
          <w:spacing w:val="2"/>
          <w:sz w:val="20"/>
          <w:szCs w:val="20"/>
        </w:rPr>
        <w:t xml:space="preserve"> ______________________________________________________________________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с другой стороны</w:t>
      </w:r>
      <w:r>
        <w:rPr>
          <w:color w:val="000000"/>
          <w:sz w:val="20"/>
          <w:szCs w:val="20"/>
        </w:rPr>
        <w:t xml:space="preserve">, именуемые в дальнейшем сторонами, </w:t>
      </w:r>
      <w:r>
        <w:rPr>
          <w:color w:val="000000"/>
          <w:sz w:val="20"/>
          <w:szCs w:val="20"/>
        </w:rPr>
        <w:t xml:space="preserve">в соответствии с Федеральным законом № 223-ФЗ от 18.07.2011 «О закупках товаров, работ, услуг отдельными видами юридических лиц» и в соответствии со статьёй 24.7 Федерального закона от 24 июня 1998 года № 89-ФЗ «Об отходах производства и потребления»</w:t>
      </w:r>
      <w:r>
        <w:rPr>
          <w:color w:val="000000"/>
          <w:sz w:val="20"/>
          <w:szCs w:val="20"/>
        </w:rPr>
        <w:t xml:space="preserve">, заключили настоящий </w:t>
      </w:r>
      <w:r>
        <w:rPr>
          <w:color w:val="000000"/>
          <w:sz w:val="20"/>
          <w:szCs w:val="20"/>
        </w:rPr>
        <w:t xml:space="preserve">договор</w:t>
      </w:r>
      <w:r>
        <w:rPr>
          <w:color w:val="000000"/>
          <w:sz w:val="20"/>
          <w:szCs w:val="20"/>
        </w:rPr>
        <w:t xml:space="preserve"> (далее по тексту – «</w:t>
      </w:r>
      <w:r>
        <w:rPr>
          <w:color w:val="000000"/>
          <w:sz w:val="20"/>
          <w:szCs w:val="20"/>
        </w:rPr>
        <w:t xml:space="preserve">Договор</w:t>
      </w:r>
      <w:r>
        <w:rPr>
          <w:color w:val="000000"/>
          <w:sz w:val="20"/>
          <w:szCs w:val="20"/>
        </w:rPr>
        <w:t xml:space="preserve">»), </w:t>
      </w:r>
      <w:r>
        <w:rPr>
          <w:color w:val="000000"/>
          <w:sz w:val="20"/>
          <w:szCs w:val="20"/>
        </w:rPr>
        <w:t xml:space="preserve">заключили настоящий </w:t>
      </w:r>
      <w:r>
        <w:rPr>
          <w:color w:val="000000"/>
          <w:sz w:val="20"/>
          <w:szCs w:val="20"/>
        </w:rPr>
        <w:t xml:space="preserve">Договор</w:t>
      </w:r>
      <w:r>
        <w:rPr>
          <w:color w:val="000000"/>
          <w:sz w:val="20"/>
          <w:szCs w:val="20"/>
        </w:rPr>
        <w:t xml:space="preserve"> о нижеследующем:</w:t>
      </w:r>
      <w:r>
        <w:rPr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" w:name="sub_2100"/>
      <w:r>
        <w:rPr>
          <w:rFonts w:ascii="Times New Roman" w:hAnsi="Times New Roman" w:cs="Times New Roman"/>
          <w:color w:val="000000"/>
          <w:sz w:val="20"/>
          <w:szCs w:val="20"/>
        </w:rPr>
        <w:t xml:space="preserve">I. Предмет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Договора</w:t>
      </w:r>
      <w:bookmarkEnd w:id="1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региональный оператор обязуется принимать твердые коммунальные отходы в объеме и (или) массе и в месте, которые определены в настоящем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и обеспечив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ать их транспортирование, обработку, энергетическую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льством Российской Федерации, а потребитель обязуется оплачивать услуги регионального оператора по обращению с твердыми коммунальными отходами (далее - услуги) по цене, определенной в пределах утвержденного единого тарифа на услугу регионального оператора.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Объем и (или) масса твердых коммунальных отходов, места (площадки) накопл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ения твердых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согласно Приложению № 1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Датой начала оказания услуг считается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«___» __________20___г.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1.4. Перечень отходов Потребителя, принимаемых Региональным оператором предусмотрен в Приложении № 3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2" w:name="sub_2200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Сроки и порядок оплаты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</w:t>
      </w:r>
      <w:bookmarkEnd w:id="2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Под расчётным периодом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понимается один календарный месяц.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Источник финансирования: 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Оплата услуг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осуществляется по цене за 1 (один) кубический метр твёрдых коммунальных отходов, равной единому тарифу на услугу, Регионального оператора, установленного Приказом №21/2021-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ТКО от 15.12.2021 года «Об установлении единых тарифов на услугу регионального оператора по обращению с твердыми коммунальными отходами» Департаментом государственного регулирования тарифов Краснодарского края с последующими изменениями указанного приказа.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Цена за 1 (один) кубический метр составляет ___________рублей 00 копеек</w:t>
      </w:r>
      <w:r>
        <w:rPr>
          <w:sz w:val="20"/>
          <w:szCs w:val="20"/>
        </w:rPr>
        <w:t xml:space="preserve">, НДС не облагается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Стоимость услуг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по обращению с твердыми коммунальными отходами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период действия настоящего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составляет: ___________ (____________________________), НДС не облагается.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единого тарифа на услугу Регионального оператора такой тариф вступает в силу с даты вступления в силу соответствующего нормативно-правового акта уполномоченного органа исполнительной власти </w:t>
      </w:r>
      <w:r>
        <w:rPr>
          <w:rFonts w:ascii="Times New Roman" w:hAnsi="Times New Roman" w:cs="Times New Roman"/>
          <w:sz w:val="20"/>
          <w:szCs w:val="20"/>
        </w:rPr>
        <w:t xml:space="preserve">в области государственного регулирования тарифов (цен) </w:t>
      </w:r>
      <w:r>
        <w:rPr>
          <w:rFonts w:ascii="Times New Roman" w:hAnsi="Times New Roman" w:cs="Times New Roman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Расчет размера ежемесячной платы предусмотрен в Приложении № 2 к настоящему </w:t>
      </w:r>
      <w:r>
        <w:rPr>
          <w:sz w:val="20"/>
          <w:szCs w:val="20"/>
        </w:rPr>
        <w:t xml:space="preserve">Договор</w:t>
      </w:r>
      <w:r>
        <w:rPr>
          <w:sz w:val="20"/>
          <w:szCs w:val="20"/>
        </w:rPr>
        <w:t xml:space="preserve">у.</w:t>
      </w:r>
      <w:r>
        <w:rPr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3" w:name="sub_2007"/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представляет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и УПД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/Акт оказанных услуг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истекший расчетный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период, за который производится оплата.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 имеет право подавать мотивированные и документально подтвержденные возражения по указанным документам в течение 5 (пяти) календарных дней, за пределами указанного срока услуги считаются принятыми в полном объеме и подлежат оплате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 оплачивает услуги по обращению с твёрдыми коммунальными отходами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срок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 10 (десятого) числа месяца, следующего за месяцем, в котором была оказана услуга по обращению с твё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полученного от Регионального оператора счета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Сверка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ющим подтвердить получение такого акта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4" w:name="sub_2400"/>
      <w:r/>
      <w:bookmarkEnd w:id="3"/>
      <w:r>
        <w:rPr>
          <w:rFonts w:ascii="Times New Roman" w:hAnsi="Times New Roman" w:cs="Times New Roman"/>
          <w:color w:val="000000"/>
          <w:sz w:val="20"/>
          <w:szCs w:val="20"/>
        </w:rPr>
        <w:t xml:space="preserve">III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Права и обязанности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5" w:name="sub_2011"/>
      <w:r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обязан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принимать твердые коммунальные отходы в объеме и (или) массе и в месте, которые предусмотрены в приложении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транспортирование, обработку, 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представлять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отвечать на жалобы и обращения потребителя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вопросам, связанным с исполнением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в течение срока, установленного законодательством Российской Федерации для рассмотрения обращений граждан;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не допускать повреждения контейнеров и (или) бункеров, принадлежащих потребителю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праве собственности или ином законном основании, при осуществлении вывоза твердых коммунальных отходов;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действия по подбору оброненных (просыпавшихся) при погрузке твердых коммунальных отходов и перемещению их в мусоровоз.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твердых коммунальных отходов соответствующими транспортными средствами.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обязан: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осуществлять складирование твердых коммунальных отходов в местах (площадках) накопления твердых коммунальных отходов, определенных приложением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у, в соответствии с реестром мест (площадок) накопления твердых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отходов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производить оплату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в порядке, размере и сроки, которые определены настоящим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не допускать повреждения кон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тейнеров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определить лицо, ответственное за взаимодействие с региональным оператором по вопросам исполнения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и представить такую информацию региональному оператору;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уведомить регионального оператора о переходе прав на объекты потребителя, указанные в настоящем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е, к новому собственнику, а также об изменении иных документов и сведений, представленных региональному оператору в соответствии с положениями пунктов 14 и 15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отходами",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льных отходов, утвержденным исполнительным органом субъекта Российской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инициировать внесение изменений в условия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не противоречащих положениям Правил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получать иную информацию от регионального оператора, не противоречащую требованиям законодательства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/>
      <w:bookmarkStart w:id="6" w:name="sub_2500"/>
      <w:r/>
      <w:bookmarkEnd w:id="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осуществления уч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 объема и (или) массы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98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рдых коммунальных отходов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/>
      <w:bookmarkStart w:id="7" w:name="sub_2015"/>
      <w:r/>
      <w:bookmarkEnd w:id="6"/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Стороны согласились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производить учет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 объема и (или) массы твердых коммунальных отходов в со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ответствии с Правилами коммерческого учета объема и (или) массы твердых коммунальных отходов, утвержденными постановлением Правительства  Российской Федерации от 24 мая 2024 г. N 671 "О коммерческом учете объема и (или) массы твердых коммунальных отходов",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следующим способом: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указывается способ коммерческого учета объема и (или) массы твердых коммунальных отходов)</w:t>
      </w:r>
      <w:r>
        <w:rPr>
          <w:rFonts w:ascii="Times New Roman" w:hAnsi="Times New Roman" w:cs="Times New Roman"/>
          <w:i/>
          <w:color w:val="000000" w:themeColor="text1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r>
    </w:p>
    <w:p>
      <w:pPr>
        <w:pStyle w:val="698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8" w:name="sub_2600"/>
      <w:r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 xml:space="preserve">V. Порядок фиксации нарушений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9" w:name="sub_2016"/>
      <w:r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нарушения региональным оператором обязательств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потребитель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участием представителя регионального оператора составляет акт о нарушении региональным оператором обязательств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(далее - акт) и вручает его представителю регионального оператора. При неявке представителя регионального оператора потребитель составляет акт в присутст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любым доступным способом, позволяющим подтвердить его получение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потребителю.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потребителю) в течение 3 рабочих дней со дня получения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В случае получения от регионального оператора возражения потребитель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обязан рассмотреть возражение и в случае согласия с возражением внести соответствующие изменения в акт.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несогласия потребителя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возражением разногласия отражаются в акте и подлежат урегулированию в судебном порядке.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Акт должен содержать: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сведения о заявителе (наименование, местонахождение, адрес);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сведения о нарушении соответствующих пунктов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другие сведения по усмотрению стороны, в том числе материалы фото- и видеосъемки.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 Потребитель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 отходами.</w:t>
      </w:r>
      <w:bookmarkEnd w:id="9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0" w:name="sub_2700"/>
      <w:r>
        <w:rPr>
          <w:rFonts w:ascii="Times New Roman" w:hAnsi="Times New Roman" w:cs="Times New Roman"/>
          <w:color w:val="000000"/>
          <w:sz w:val="20"/>
          <w:szCs w:val="20"/>
        </w:rPr>
        <w:t xml:space="preserve">V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Ответственность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/>
      <w:bookmarkStart w:id="11" w:name="sub_2021"/>
      <w:r/>
      <w:bookmarkEnd w:id="10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неисполнение или ненадлежащее исполнение обязательств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.2. В случае неисполнения либо ненадлежащего исполнения потребителем обязательств по оплате услуг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региональный оператор вправе потребовать от потребителя уплаты неустойки в размере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1/130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одной сто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тридцатой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.3. В случае предоставления в расчетном периоде потребителю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должен был быть осуществлен вывоз твердых коммунальных отходов,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</w:t>
      </w:r>
      <w:bookmarkEnd w:id="11"/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2" w:name="sub_2900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Действие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45" w:lineRule="auto"/>
        <w:rPr>
          <w:rFonts w:ascii="Times New Roman" w:hAnsi="Times New Roman" w:cs="Times New Roman"/>
          <w:spacing w:val="-4"/>
          <w:sz w:val="20"/>
          <w:szCs w:val="20"/>
        </w:rPr>
      </w:pPr>
      <w:r/>
      <w:bookmarkStart w:id="13" w:name="sub_2026"/>
      <w:r/>
      <w:bookmarkEnd w:id="12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7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 Настоящий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заключается на срок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до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31 декабря 20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включительно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и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распространяется на отношения, фактически существующие между сторонами с 01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________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20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___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года.</w:t>
      </w:r>
      <w:r>
        <w:rPr>
          <w:rFonts w:ascii="Times New Roman" w:hAnsi="Times New Roman" w:cs="Times New Roman"/>
          <w:spacing w:val="-4"/>
          <w:sz w:val="20"/>
          <w:szCs w:val="20"/>
        </w:rPr>
      </w:r>
    </w:p>
    <w:p>
      <w:pPr>
        <w:ind w:firstLine="567"/>
        <w:spacing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до окончания срока его действия по соглашению сторон.</w:t>
      </w:r>
      <w:bookmarkStart w:id="14" w:name="sub_2028"/>
      <w:r/>
      <w:bookmarkEnd w:id="13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8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5" w:name="_Hlk25142472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Разрешение споров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6"/>
        <w:ind w:firstLine="567"/>
        <w:jc w:val="both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6" w:name="sub_2101"/>
      <w:r/>
      <w:bookmarkEnd w:id="14"/>
      <w:r/>
      <w:bookmarkEnd w:id="15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8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Все споры и разногласия, возникшие в ходе исполнения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настоящего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 или в связи с ним, разрешаются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торонами пут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ём переговоров либо </w:t>
      </w:r>
      <w:r>
        <w:rPr>
          <w:rFonts w:ascii="Times New Roman" w:hAnsi="Times New Roman" w:cs="Times New Roman"/>
          <w:sz w:val="20"/>
          <w:szCs w:val="20"/>
        </w:rPr>
        <w:t xml:space="preserve">направления и рассмотрения письменных претензий.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5"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.2. Сторона, получившая письменную претензию, должна рассмотреть такую претензию по существу, и направить другой стороне ответ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течение 10 (десяти) календарных дней с даты ее получения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7" w:name="_ref_1-1faab982682e4a"/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Разногласия, не урегулированные сторонами путём переговоров либо в претензионном порядке, подлежат рассмотрению в </w:t>
      </w:r>
      <w:r>
        <w:rPr>
          <w:rFonts w:ascii="Times New Roman" w:hAnsi="Times New Roman" w:cs="Times New Roman"/>
          <w:sz w:val="20"/>
          <w:szCs w:val="20"/>
        </w:rPr>
        <w:t xml:space="preserve">Арбитражном </w:t>
      </w:r>
      <w:r>
        <w:rPr>
          <w:rFonts w:ascii="Times New Roman" w:hAnsi="Times New Roman" w:cs="Times New Roman"/>
          <w:sz w:val="20"/>
          <w:szCs w:val="20"/>
        </w:rPr>
        <w:t xml:space="preserve">суде Краснодарского</w:t>
      </w:r>
      <w:r>
        <w:rPr>
          <w:rFonts w:ascii="Times New Roman" w:hAnsi="Times New Roman" w:cs="Times New Roman"/>
          <w:sz w:val="20"/>
          <w:szCs w:val="20"/>
        </w:rPr>
        <w:t xml:space="preserve"> края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.4. Стороны согласовали, что электронная переписка </w:t>
      </w:r>
      <w:r>
        <w:rPr>
          <w:rFonts w:ascii="Times New Roman" w:hAnsi="Times New Roman" w:cs="Times New Roman"/>
          <w:sz w:val="20"/>
          <w:szCs w:val="20"/>
        </w:rPr>
        <w:t xml:space="preserve">сторон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обмена корреспонденцией по 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осуществляемая в рамках выполнения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а, </w:t>
      </w:r>
      <w:r>
        <w:rPr>
          <w:rFonts w:ascii="Times New Roman" w:hAnsi="Times New Roman" w:cs="Times New Roman"/>
          <w:sz w:val="20"/>
          <w:szCs w:val="20"/>
        </w:rPr>
        <w:t xml:space="preserve">а также переписка по </w:t>
      </w:r>
      <w:r>
        <w:rPr>
          <w:rFonts w:ascii="Times New Roman" w:hAnsi="Times New Roman" w:cs="Times New Roman"/>
          <w:sz w:val="20"/>
          <w:szCs w:val="20"/>
        </w:rPr>
        <w:t xml:space="preserve">социальным м</w:t>
      </w:r>
      <w:r>
        <w:rPr>
          <w:rFonts w:ascii="Times New Roman" w:hAnsi="Times New Roman" w:cs="Times New Roman"/>
          <w:sz w:val="20"/>
          <w:szCs w:val="20"/>
        </w:rPr>
        <w:t xml:space="preserve">ессенджерам и/или </w:t>
      </w:r>
      <w:r>
        <w:rPr>
          <w:rFonts w:ascii="Times New Roman" w:hAnsi="Times New Roman" w:cs="Times New Roman"/>
          <w:sz w:val="20"/>
          <w:szCs w:val="20"/>
        </w:rPr>
        <w:t xml:space="preserve">разговоры по телефонным номерам, указан</w:t>
      </w:r>
      <w:r>
        <w:rPr>
          <w:rFonts w:ascii="Times New Roman" w:hAnsi="Times New Roman" w:cs="Times New Roman"/>
          <w:sz w:val="20"/>
          <w:szCs w:val="20"/>
        </w:rPr>
        <w:t xml:space="preserve">н</w:t>
      </w:r>
      <w:r>
        <w:rPr>
          <w:rFonts w:ascii="Times New Roman" w:hAnsi="Times New Roman" w:cs="Times New Roman"/>
          <w:sz w:val="20"/>
          <w:szCs w:val="20"/>
        </w:rPr>
        <w:t xml:space="preserve">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е, имеет юридическую силу и является письменным доказательством в соответстви</w:t>
      </w:r>
      <w:r>
        <w:rPr>
          <w:rFonts w:ascii="Times New Roman" w:hAnsi="Times New Roman" w:cs="Times New Roman"/>
          <w:sz w:val="20"/>
          <w:szCs w:val="20"/>
        </w:rPr>
        <w:t xml:space="preserve">и нормами гражданского </w:t>
      </w:r>
      <w:r>
        <w:rPr>
          <w:rFonts w:ascii="Times New Roman" w:hAnsi="Times New Roman" w:cs="Times New Roman"/>
          <w:sz w:val="20"/>
          <w:szCs w:val="20"/>
        </w:rPr>
        <w:t xml:space="preserve">процессуального </w:t>
      </w:r>
      <w:r>
        <w:rPr>
          <w:rFonts w:ascii="Times New Roman" w:hAnsi="Times New Roman" w:cs="Times New Roman"/>
          <w:sz w:val="20"/>
          <w:szCs w:val="20"/>
        </w:rPr>
        <w:t xml:space="preserve">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Датой передачи соответствующего сообщения считается день его отправления.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уведомления и сообщения, отправленные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торонами друг другу по адресам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признаются официальной перепиской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за получение сообщений и уведомлений вышеуказанным способом лежит на получающей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 форс-мажорных обстоятельств.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Стороны соглашаются, что все документы по настоящему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у, передача которых необходима в оригинале без использования электронной почты, могут вручаться путем доставки лично в руки под расписку (проставление даты и подписи о получении на копии доставленного документа) непосредственно представителю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а. Датой получения (датой доставки), соответственно, будет дата, проставленная на копии полученного документа. Уполномоченным на получ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ение документов представителем 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является любой сотрудник, находящийся по адресу, указанному в реквизитах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а, на момент доставки документа. Также указанные документы могут доставляться курьерскими и почтовыми службами.</w:t>
      </w:r>
      <w:r>
        <w:rPr>
          <w:rFonts w:ascii="Times New Roman" w:hAnsi="Times New Roman" w:cs="Times New Roman"/>
          <w:spacing w:val="-2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настоящим подтверждают, что в процессе взаимодействия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а надлежащим способом отправки и получения информации, да</w:t>
      </w:r>
      <w:r>
        <w:rPr>
          <w:rFonts w:ascii="Times New Roman" w:hAnsi="Times New Roman" w:cs="Times New Roman"/>
          <w:sz w:val="20"/>
          <w:szCs w:val="20"/>
        </w:rPr>
        <w:t xml:space="preserve">нных, заявок, документов </w:t>
      </w:r>
      <w:r>
        <w:rPr>
          <w:rFonts w:ascii="Times New Roman" w:hAnsi="Times New Roman" w:cs="Times New Roman"/>
          <w:sz w:val="20"/>
          <w:szCs w:val="20"/>
        </w:rPr>
        <w:t xml:space="preserve">(вся информация, данные и документы, полученные или отправленн</w:t>
      </w:r>
      <w:r>
        <w:rPr>
          <w:rFonts w:ascii="Times New Roman" w:hAnsi="Times New Roman" w:cs="Times New Roman"/>
          <w:sz w:val="20"/>
          <w:szCs w:val="20"/>
        </w:rPr>
        <w:t xml:space="preserve">ые таким способом имеют юридическую силу, а скриншоты и сканы, полученные таким способом являются доказательством в случае судебного разбирательства без нотариального удостоверения) является взаимодействие по телефонам и адресам электронной почты, указанны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е и приложениях к нему. </w:t>
      </w:r>
      <w:bookmarkEnd w:id="17"/>
      <w:r>
        <w:rPr>
          <w:rFonts w:ascii="Times New Roman" w:hAnsi="Times New Roman" w:cs="Times New Roman"/>
          <w:sz w:val="20"/>
          <w:szCs w:val="20"/>
        </w:rPr>
      </w:r>
    </w:p>
    <w:p>
      <w:pPr>
        <w:pStyle w:val="698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X. Прочие условия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8" w:name="sub_2029"/>
      <w:r/>
      <w:bookmarkEnd w:id="16"/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Все изменения, которые вносятся в настоящий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изменения наименова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При исполнении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иями Федерального закона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Настоящий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 в 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(двух)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экземплярах, имеющих равную юридическую силу.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Приложение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является его неотъемлемой частью.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 Спорные вопросы между сторонами урегулируются в соответствии с законодательством Российской Федерации.</w:t>
      </w:r>
      <w:bookmarkEnd w:id="18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284"/>
        <w:spacing w:line="24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3"/>
        <w:tblW w:w="9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59"/>
        <w:gridCol w:w="4695"/>
      </w:tblGrid>
      <w:tr>
        <w:tblPrEx/>
        <w:trPr>
          <w:trHeight w:val="196"/>
        </w:trPr>
        <w:tc>
          <w:tcPr>
            <w:tcW w:w="5259" w:type="dxa"/>
            <w:textDirection w:val="lrTb"/>
            <w:noWrap w:val="false"/>
          </w:tcPr>
          <w:p>
            <w:pPr>
              <w:pStyle w:val="7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Потребитель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52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Экотехпром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51"/>
        </w:trPr>
        <w:tc>
          <w:tcPr>
            <w:tcW w:w="52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государственной 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140080, РФ, Московская обл.,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Лыткарино,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Лыткарино, тер. промзона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Тураево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стр. 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 Р, этаж 2, пом.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ИНН/КПП 5026014960/502701001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ОКПО 68151408 ОГРН 1105027011110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 40702810330000050830 в ПАО «Сбербанк» Краснодарское отделение №8619 к/с 30101810100000000602, БИК 040349602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8(861)201-89-99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@etp-tko.ru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/>
      <w:bookmarkStart w:id="19" w:name="_Hlk206585870"/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от Регионального оператора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от Потребителя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/>
      <w:bookmarkStart w:id="20" w:name="_Hlk1029682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__________ /</w:t>
      </w:r>
      <w:bookmarkEnd w:id="20"/>
      <w:r/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МП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ab/>
        <w:t xml:space="preserve">     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МП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bookmarkEnd w:id="19"/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703"/>
          <w:rFonts w:ascii="Times New Roman" w:hAnsi="Times New Roman" w:cs="Times New Roman"/>
          <w:color w:val="000000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426" w:right="707" w:bottom="709" w:left="1134" w:header="426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9639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Приложение№1</w:t>
      </w:r>
      <w:bookmarkStart w:id="21" w:name="_Hlk25142610"/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9498" w:firstLine="141"/>
        <w:spacing w:line="223" w:lineRule="auto"/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к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Договору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№ _____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 от________________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9639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639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639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639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bookmarkEnd w:id="21"/>
      <w:r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предмету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оказание услуг по обращению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твердыми коммунальными отходами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4033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1644"/>
        <w:gridCol w:w="1814"/>
        <w:gridCol w:w="1814"/>
        <w:gridCol w:w="1304"/>
        <w:gridCol w:w="3375"/>
      </w:tblGrid>
      <w:tr>
        <w:tblPrEx/>
        <w:trPr>
          <w:trHeight w:val="2278"/>
        </w:trPr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Наименование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Местонахождение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Количество принимаемых твердых коммунальных отходов (куб. метров или тонн)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крупногабаритных отходов (при наличии)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График вывоза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37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Способ складирования твердых коммунальных отходов в соответствии с </w:t>
            </w:r>
            <w:hyperlink w:tooltip="ПРАВИЛА ОБРАЩЕНИЯ С ТВЕРДЫМИ КОММУНАЛЬНЫМИ ОТХОДАМИ" w:anchor="P35" w:history="1">
              <w:r>
                <w:rPr>
                  <w:rFonts w:ascii="Times New Roman" w:hAnsi="Times New Roman" w:cs="Times New Roman" w:eastAsiaTheme="minorEastAsia"/>
                  <w:b/>
                  <w:sz w:val="20"/>
                  <w:szCs w:val="20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37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337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3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12"/>
        <w:gridCol w:w="6627"/>
      </w:tblGrid>
      <w:tr>
        <w:tblPrEx/>
        <w:trPr/>
        <w:tc>
          <w:tcPr>
            <w:tcW w:w="75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2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№2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Договору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№ 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__ от_____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______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539"/>
        <w:gridCol w:w="539"/>
        <w:gridCol w:w="1702"/>
        <w:gridCol w:w="1477"/>
        <w:gridCol w:w="2105"/>
        <w:gridCol w:w="1365"/>
        <w:gridCol w:w="2614"/>
        <w:gridCol w:w="1093"/>
        <w:gridCol w:w="1070"/>
        <w:gridCol w:w="148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Адрес объекта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Количество расчетных единиц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Норматив на 1 ед.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принимаемых ТКО в месяц,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Месяц оказания услуги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Единый тариф на услугу регионального оператора, руб./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Ставка НДС (%)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Сумма НДС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Общая сумма оплаты за ТКО,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8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9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3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5"/>
        <w:gridCol w:w="6910"/>
      </w:tblGrid>
      <w:tr>
        <w:tblPrEx/>
        <w:trPr/>
        <w:tc>
          <w:tcPr>
            <w:tcW w:w="765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</w:t>
            </w:r>
            <w:r>
              <w:t xml:space="preserve">___________________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22" w:name="_GoBack"/>
      <w:r/>
      <w:bookmarkEnd w:id="22"/>
      <w:r/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hanging="284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 3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Договору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№ ______ от_____________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703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tabs>
          <w:tab w:val="left" w:pos="1233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Перечень твердых коммунальных отходов Потребителя.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spacing w:after="160" w:line="259" w:lineRule="auto"/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/>
      </w:r>
      <w:bookmarkStart w:id="23" w:name="Приложение3_АБtbl"/>
      <w:r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23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1124"/>
        <w:gridCol w:w="4962"/>
        <w:gridCol w:w="1984"/>
        <w:gridCol w:w="2552"/>
        <w:gridCol w:w="396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Наименование отходов в соответствии с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Код по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Класс опасности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в мес.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13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5"/>
        <w:gridCol w:w="7280"/>
      </w:tblGrid>
      <w:tr>
        <w:tblPrEx/>
        <w:trPr/>
        <w:tc>
          <w:tcPr>
            <w:tcW w:w="728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firstLine="0"/>
        <w:jc w:val="right"/>
        <w:spacing w:line="223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6838" w:h="11906" w:orient="landscape"/>
      <w:pgMar w:top="709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Arimo">
    <w:panose1 w:val="020B0604030504040204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871165"/>
      <w:docPartObj>
        <w:docPartGallery w:val="Page Numbers (Top of Page)"/>
        <w:docPartUnique w:val="true"/>
      </w:docPartObj>
      <w:rPr/>
    </w:sdtPr>
    <w:sdtContent>
      <w:p>
        <w:pPr>
          <w:pStyle w:val="70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6" w:hanging="12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850" w:hanging="120"/>
      </w:pPr>
    </w:lvl>
    <w:lvl w:ilvl="2">
      <w:start w:val="1"/>
      <w:numFmt w:val="bullet"/>
      <w:isLgl w:val="false"/>
      <w:suff w:val="tab"/>
      <w:lvlText w:val="•"/>
      <w:lvlJc w:val="left"/>
      <w:pPr>
        <w:ind w:left="2761" w:hanging="120"/>
      </w:pPr>
    </w:lvl>
    <w:lvl w:ilvl="3">
      <w:start w:val="1"/>
      <w:numFmt w:val="bullet"/>
      <w:isLgl w:val="false"/>
      <w:suff w:val="tab"/>
      <w:lvlText w:val="•"/>
      <w:lvlJc w:val="left"/>
      <w:pPr>
        <w:ind w:left="3671" w:hanging="120"/>
      </w:pPr>
    </w:lvl>
    <w:lvl w:ilvl="4">
      <w:start w:val="1"/>
      <w:numFmt w:val="bullet"/>
      <w:isLgl w:val="false"/>
      <w:suff w:val="tab"/>
      <w:lvlText w:val="•"/>
      <w:lvlJc w:val="left"/>
      <w:pPr>
        <w:ind w:left="4582" w:hanging="120"/>
      </w:pPr>
    </w:lvl>
    <w:lvl w:ilvl="5">
      <w:start w:val="1"/>
      <w:numFmt w:val="bullet"/>
      <w:isLgl w:val="false"/>
      <w:suff w:val="tab"/>
      <w:lvlText w:val="•"/>
      <w:lvlJc w:val="left"/>
      <w:pPr>
        <w:ind w:left="5493" w:hanging="120"/>
      </w:pPr>
    </w:lvl>
    <w:lvl w:ilvl="6">
      <w:start w:val="1"/>
      <w:numFmt w:val="bullet"/>
      <w:isLgl w:val="false"/>
      <w:suff w:val="tab"/>
      <w:lvlText w:val="•"/>
      <w:lvlJc w:val="left"/>
      <w:pPr>
        <w:ind w:left="6403" w:hanging="120"/>
      </w:pPr>
    </w:lvl>
    <w:lvl w:ilvl="7">
      <w:start w:val="1"/>
      <w:numFmt w:val="bullet"/>
      <w:isLgl w:val="false"/>
      <w:suff w:val="tab"/>
      <w:lvlText w:val="•"/>
      <w:lvlJc w:val="left"/>
      <w:pPr>
        <w:ind w:left="7314" w:hanging="120"/>
      </w:pPr>
    </w:lvl>
    <w:lvl w:ilvl="8">
      <w:start w:val="1"/>
      <w:numFmt w:val="bullet"/>
      <w:isLgl w:val="false"/>
      <w:suff w:val="tab"/>
      <w:lvlText w:val="•"/>
      <w:lvlJc w:val="left"/>
      <w:pPr>
        <w:ind w:left="8225" w:hanging="1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b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8"/>
    <w:uiPriority w:val="99"/>
  </w:style>
  <w:style w:type="character" w:styleId="45">
    <w:name w:val="Footer Char"/>
    <w:basedOn w:val="699"/>
    <w:link w:val="710"/>
    <w:uiPriority w:val="99"/>
  </w:style>
  <w:style w:type="paragraph" w:styleId="46">
    <w:name w:val="Caption"/>
    <w:basedOn w:val="697"/>
    <w:next w:val="69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698">
    <w:name w:val="Heading 1"/>
    <w:basedOn w:val="697"/>
    <w:next w:val="697"/>
    <w:link w:val="70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Заголовок 1 Знак"/>
    <w:basedOn w:val="699"/>
    <w:link w:val="698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703" w:customStyle="1">
    <w:name w:val="Цветовое выделение"/>
    <w:uiPriority w:val="99"/>
    <w:rPr>
      <w:b/>
      <w:bCs/>
      <w:color w:val="26282f"/>
    </w:rPr>
  </w:style>
  <w:style w:type="character" w:styleId="704" w:customStyle="1">
    <w:name w:val="Гипертекстовая ссылка"/>
    <w:uiPriority w:val="99"/>
    <w:rPr>
      <w:b w:val="0"/>
      <w:bCs w:val="0"/>
      <w:color w:val="106bbe"/>
    </w:rPr>
  </w:style>
  <w:style w:type="paragraph" w:styleId="705" w:customStyle="1">
    <w:name w:val="Нормальный (таблица)"/>
    <w:basedOn w:val="697"/>
    <w:next w:val="697"/>
    <w:uiPriority w:val="99"/>
    <w:pPr>
      <w:ind w:firstLine="0"/>
    </w:pPr>
  </w:style>
  <w:style w:type="paragraph" w:styleId="706" w:customStyle="1">
    <w:name w:val="Таблицы (моноширинный)"/>
    <w:basedOn w:val="697"/>
    <w:next w:val="697"/>
    <w:uiPriority w:val="99"/>
    <w:pPr>
      <w:ind w:firstLine="0"/>
      <w:jc w:val="left"/>
    </w:pPr>
    <w:rPr>
      <w:rFonts w:ascii="Courier New" w:hAnsi="Courier New" w:cs="Courier New"/>
    </w:rPr>
  </w:style>
  <w:style w:type="paragraph" w:styleId="707">
    <w:name w:val="List Paragraph"/>
    <w:basedOn w:val="697"/>
    <w:uiPriority w:val="34"/>
    <w:qFormat/>
    <w:pPr>
      <w:contextualSpacing/>
      <w:ind w:left="720"/>
    </w:pPr>
  </w:style>
  <w:style w:type="paragraph" w:styleId="708">
    <w:name w:val="Header"/>
    <w:basedOn w:val="697"/>
    <w:link w:val="7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699"/>
    <w:link w:val="708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710">
    <w:name w:val="Footer"/>
    <w:basedOn w:val="697"/>
    <w:link w:val="7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99"/>
    <w:link w:val="710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12">
    <w:name w:val="Hyperlink"/>
    <w:basedOn w:val="699"/>
    <w:uiPriority w:val="99"/>
    <w:unhideWhenUsed/>
    <w:rPr>
      <w:color w:val="0563c1" w:themeColor="hyperlink"/>
      <w:u w:val="single"/>
    </w:rPr>
  </w:style>
  <w:style w:type="table" w:styleId="713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4" w:customStyle="1">
    <w:name w:val="Неразрешенное упоминание1"/>
    <w:basedOn w:val="699"/>
    <w:uiPriority w:val="99"/>
    <w:semiHidden/>
    <w:unhideWhenUsed/>
    <w:rPr>
      <w:color w:val="605e5c"/>
      <w:shd w:val="clear" w:color="auto" w:fill="e1dfdd"/>
    </w:rPr>
  </w:style>
  <w:style w:type="paragraph" w:styleId="715">
    <w:name w:val="Balloon Text"/>
    <w:basedOn w:val="697"/>
    <w:link w:val="71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699"/>
    <w:link w:val="71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7">
    <w:name w:val="annotation reference"/>
    <w:basedOn w:val="699"/>
    <w:uiPriority w:val="99"/>
    <w:semiHidden/>
    <w:unhideWhenUsed/>
    <w:rPr>
      <w:sz w:val="16"/>
      <w:szCs w:val="16"/>
    </w:rPr>
  </w:style>
  <w:style w:type="paragraph" w:styleId="718">
    <w:name w:val="annotation text"/>
    <w:basedOn w:val="697"/>
    <w:link w:val="719"/>
    <w:uiPriority w:val="99"/>
    <w:semiHidden/>
    <w:unhideWhenUsed/>
    <w:pPr>
      <w:ind w:firstLine="0"/>
      <w:jc w:val="left"/>
    </w:pPr>
    <w:rPr>
      <w:rFonts w:ascii="Times New Roman" w:hAnsi="Times New Roman" w:eastAsia="Arimo" w:cs="Times New Roman"/>
      <w:color w:val="000000"/>
      <w:sz w:val="20"/>
      <w:szCs w:val="20"/>
    </w:rPr>
  </w:style>
  <w:style w:type="character" w:styleId="719" w:customStyle="1">
    <w:name w:val="Текст примечания Знак"/>
    <w:basedOn w:val="699"/>
    <w:link w:val="718"/>
    <w:uiPriority w:val="99"/>
    <w:semiHidden/>
    <w:rPr>
      <w:rFonts w:ascii="Times New Roman" w:hAnsi="Times New Roman" w:eastAsia="Arimo" w:cs="Times New Roman"/>
      <w:color w:val="000000"/>
      <w:sz w:val="20"/>
      <w:szCs w:val="20"/>
      <w:lang w:eastAsia="ru-RU"/>
    </w:rPr>
  </w:style>
  <w:style w:type="paragraph" w:styleId="720">
    <w:name w:val="annotation subject"/>
    <w:basedOn w:val="718"/>
    <w:next w:val="718"/>
    <w:link w:val="721"/>
    <w:uiPriority w:val="99"/>
    <w:semiHidden/>
    <w:unhideWhenUsed/>
    <w:pPr>
      <w:ind w:firstLine="720"/>
      <w:jc w:val="both"/>
    </w:pPr>
    <w:rPr>
      <w:rFonts w:ascii="Times New Roman CYR" w:hAnsi="Times New Roman CYR" w:eastAsia="Times New Roman" w:cs="Times New Roman CYR"/>
      <w:b/>
      <w:bCs/>
      <w:color w:val="auto"/>
    </w:rPr>
  </w:style>
  <w:style w:type="character" w:styleId="721" w:customStyle="1">
    <w:name w:val="Тема примечания Знак"/>
    <w:basedOn w:val="719"/>
    <w:link w:val="720"/>
    <w:uiPriority w:val="99"/>
    <w:semiHidden/>
    <w:rPr>
      <w:rFonts w:ascii="Times New Roman CYR" w:hAnsi="Times New Roman CYR" w:eastAsia="Times New Roman" w:cs="Times New Roman CYR"/>
      <w:b/>
      <w:bCs/>
      <w:color w:val="000000"/>
      <w:sz w:val="20"/>
      <w:szCs w:val="20"/>
      <w:lang w:eastAsia="ru-RU"/>
    </w:rPr>
  </w:style>
  <w:style w:type="paragraph" w:styleId="722">
    <w:name w:val="Body Text"/>
    <w:basedOn w:val="697"/>
    <w:link w:val="723"/>
    <w:uiPriority w:val="1"/>
    <w:qFormat/>
    <w:pPr>
      <w:ind w:firstLine="0"/>
      <w:jc w:val="left"/>
    </w:pPr>
    <w:rPr>
      <w:rFonts w:ascii="Arial" w:hAnsi="Arial" w:eastAsia="Arial" w:cs="Arial"/>
      <w:sz w:val="14"/>
      <w:szCs w:val="14"/>
      <w:lang w:eastAsia="en-US"/>
    </w:rPr>
  </w:style>
  <w:style w:type="character" w:styleId="723" w:customStyle="1">
    <w:name w:val="Основной текст Знак"/>
    <w:basedOn w:val="699"/>
    <w:link w:val="722"/>
    <w:uiPriority w:val="1"/>
    <w:rPr>
      <w:rFonts w:ascii="Arial" w:hAnsi="Arial" w:eastAsia="Arial" w:cs="Arial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Артём Федотовских</cp:lastModifiedBy>
  <cp:revision>61</cp:revision>
  <dcterms:created xsi:type="dcterms:W3CDTF">2022-06-09T10:09:00Z</dcterms:created>
  <dcterms:modified xsi:type="dcterms:W3CDTF">2025-09-02T11:26:25Z</dcterms:modified>
</cp:coreProperties>
</file>