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4" w:right="4" w:firstLine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Форма типового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а</w:t>
      </w:r>
      <w:r>
        <w:rPr>
          <w:rFonts w:ascii="Times New Roman" w:hAnsi="Times New Roman" w:cs="Times New Roman"/>
          <w:b/>
          <w:i/>
          <w:sz w:val="20"/>
          <w:szCs w:val="20"/>
        </w:rPr>
      </w:r>
    </w:p>
    <w:p>
      <w:pPr>
        <w:ind w:left="6804" w:right="4" w:firstLine="0"/>
        <w:jc w:val="right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на оказание услуг по обращению с твердыми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коммунальными отходами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</w:r>
    </w:p>
    <w:p>
      <w:pPr>
        <w:ind w:left="6804" w:right="4" w:firstLine="0"/>
        <w:jc w:val="right"/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для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юридических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 лиц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  <w:t xml:space="preserve">(44-ФЗ)</w:t>
      </w:r>
      <w:r>
        <w:rPr>
          <w:rFonts w:ascii="Times New Roman" w:hAnsi="Times New Roman" w:cs="Times New Roman"/>
          <w:i/>
          <w:spacing w:val="-4"/>
          <w:sz w:val="20"/>
          <w:szCs w:val="20"/>
          <w:u w:val="single"/>
        </w:rPr>
      </w:r>
    </w:p>
    <w:p>
      <w:pPr>
        <w:pStyle w:val="694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4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ТИПОВОЙ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на оказание услуг по обращению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 тв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ё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рдыми коммунальными отходами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Крымской зоне деятельности Регионального оператора в Краснодарском крае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2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_______________________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_» 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 20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года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</w:t>
      </w:r>
      <w:r>
        <w:rPr>
          <w:rFonts w:ascii="Times New Roman" w:hAnsi="Times New Roman" w:cs="Times New Roman"/>
          <w:b/>
          <w:sz w:val="20"/>
          <w:szCs w:val="20"/>
        </w:rPr>
        <w:t xml:space="preserve">бщество с ограниченной ответственностью «</w:t>
      </w:r>
      <w:r>
        <w:rPr>
          <w:rFonts w:ascii="Times New Roman" w:hAnsi="Times New Roman" w:cs="Times New Roman"/>
          <w:b/>
          <w:sz w:val="20"/>
          <w:szCs w:val="20"/>
        </w:rPr>
        <w:t xml:space="preserve">Экотехпром</w:t>
      </w:r>
      <w:r>
        <w:rPr>
          <w:rFonts w:ascii="Times New Roman" w:hAnsi="Times New Roman" w:cs="Times New Roman"/>
          <w:b/>
          <w:sz w:val="20"/>
          <w:szCs w:val="20"/>
        </w:rPr>
        <w:t xml:space="preserve">» (ООО «</w:t>
      </w:r>
      <w:r>
        <w:rPr>
          <w:rFonts w:ascii="Times New Roman" w:hAnsi="Times New Roman" w:cs="Times New Roman"/>
          <w:b/>
          <w:sz w:val="20"/>
          <w:szCs w:val="20"/>
        </w:rPr>
        <w:t xml:space="preserve">Экотехпром»</w:t>
      </w:r>
      <w:r>
        <w:rPr>
          <w:rFonts w:ascii="Times New Roman" w:hAnsi="Times New Roman" w:cs="Times New Roman"/>
          <w:b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0"/>
          <w:szCs w:val="20"/>
        </w:rPr>
        <w:t xml:space="preserve">Региональный оператор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Hlk25142269"/>
      <w:r>
        <w:rPr>
          <w:rFonts w:ascii="Times New Roman" w:hAnsi="Times New Roman" w:cs="Times New Roman"/>
          <w:sz w:val="20"/>
          <w:szCs w:val="20"/>
        </w:rPr>
        <w:t xml:space="preserve">в лице </w:t>
      </w:r>
      <w:r>
        <w:rPr>
          <w:rFonts w:ascii="Times New Roman" w:hAnsi="Times New Roman" w:cs="Times New Roman"/>
          <w:sz w:val="20"/>
          <w:szCs w:val="20"/>
        </w:rPr>
        <w:t xml:space="preserve">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</w:t>
      </w:r>
      <w:r>
        <w:rPr>
          <w:rFonts w:ascii="Times New Roman" w:hAnsi="Times New Roman" w:cs="Times New Roman"/>
          <w:sz w:val="20"/>
          <w:szCs w:val="20"/>
        </w:rPr>
        <w:t xml:space="preserve">________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с одной стороны, и</w:t>
      </w:r>
      <w:bookmarkEnd w:id="0"/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8"/>
        <w:spacing w:line="252" w:lineRule="auto"/>
        <w:rPr>
          <w:spacing w:val="-1"/>
          <w:sz w:val="12"/>
          <w:szCs w:val="20"/>
        </w:rPr>
      </w:pPr>
      <w:r>
        <w:rPr>
          <w:spacing w:val="-1"/>
          <w:sz w:val="12"/>
          <w:szCs w:val="20"/>
        </w:rPr>
      </w:r>
      <w:r>
        <w:rPr>
          <w:spacing w:val="-1"/>
          <w:sz w:val="12"/>
          <w:szCs w:val="20"/>
        </w:rPr>
      </w:r>
    </w:p>
    <w:p>
      <w:pPr>
        <w:ind w:firstLine="708"/>
        <w:spacing w:line="252" w:lineRule="auto"/>
        <w:rPr>
          <w:color w:val="000000"/>
          <w:sz w:val="20"/>
          <w:szCs w:val="20"/>
        </w:rPr>
      </w:pPr>
      <w:r>
        <w:rPr>
          <w:spacing w:val="-1"/>
          <w:sz w:val="20"/>
          <w:szCs w:val="20"/>
        </w:rPr>
        <w:t xml:space="preserve">___________________________</w:t>
      </w:r>
      <w:r>
        <w:rPr>
          <w:spacing w:val="-1"/>
          <w:sz w:val="20"/>
          <w:szCs w:val="20"/>
        </w:rPr>
        <w:t xml:space="preserve">________</w:t>
      </w:r>
      <w:r>
        <w:rPr>
          <w:spacing w:val="-1"/>
          <w:sz w:val="20"/>
          <w:szCs w:val="20"/>
        </w:rPr>
        <w:t xml:space="preserve">___</w:t>
      </w:r>
      <w:r>
        <w:rPr>
          <w:b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именуемое(</w:t>
      </w:r>
      <w:r>
        <w:rPr>
          <w:color w:val="000000"/>
          <w:sz w:val="20"/>
          <w:szCs w:val="20"/>
        </w:rPr>
        <w:t xml:space="preserve">ый</w:t>
      </w:r>
      <w:r>
        <w:rPr>
          <w:color w:val="000000"/>
          <w:sz w:val="20"/>
          <w:szCs w:val="20"/>
        </w:rPr>
        <w:t xml:space="preserve">) в дальнейшем </w:t>
      </w:r>
      <w:r>
        <w:rPr>
          <w:b/>
          <w:color w:val="000000"/>
          <w:sz w:val="20"/>
          <w:szCs w:val="20"/>
        </w:rPr>
        <w:t xml:space="preserve">Потребитель</w:t>
      </w:r>
      <w:r>
        <w:rPr>
          <w:b/>
          <w:spacing w:val="2"/>
          <w:sz w:val="20"/>
          <w:szCs w:val="20"/>
        </w:rPr>
        <w:t xml:space="preserve">, </w:t>
      </w:r>
      <w:r>
        <w:rPr>
          <w:spacing w:val="2"/>
          <w:sz w:val="20"/>
          <w:szCs w:val="20"/>
        </w:rPr>
        <w:t xml:space="preserve">в лице</w:t>
      </w:r>
      <w:r>
        <w:rPr>
          <w:b/>
          <w:spacing w:val="2"/>
          <w:sz w:val="20"/>
          <w:szCs w:val="20"/>
        </w:rPr>
        <w:t xml:space="preserve"> </w:t>
      </w:r>
      <w:r>
        <w:rPr>
          <w:b/>
          <w:spacing w:val="2"/>
          <w:sz w:val="20"/>
          <w:szCs w:val="20"/>
        </w:rPr>
        <w:t xml:space="preserve">_____________________________________</w:t>
      </w:r>
      <w:r>
        <w:rPr>
          <w:b/>
          <w:spacing w:val="2"/>
          <w:sz w:val="20"/>
          <w:szCs w:val="20"/>
        </w:rPr>
        <w:t xml:space="preserve">____________________</w:t>
      </w:r>
      <w:r>
        <w:rPr>
          <w:b/>
          <w:spacing w:val="2"/>
          <w:sz w:val="20"/>
          <w:szCs w:val="20"/>
        </w:rPr>
        <w:t xml:space="preserve">______</w:t>
      </w:r>
      <w:r>
        <w:rPr>
          <w:b/>
          <w:spacing w:val="2"/>
          <w:sz w:val="20"/>
          <w:szCs w:val="20"/>
        </w:rPr>
        <w:t xml:space="preserve">, </w:t>
      </w:r>
      <w:r>
        <w:rPr>
          <w:spacing w:val="2"/>
          <w:sz w:val="20"/>
          <w:szCs w:val="20"/>
        </w:rPr>
        <w:t xml:space="preserve">действующего на основании</w:t>
      </w:r>
      <w:r>
        <w:rPr>
          <w:b/>
          <w:spacing w:val="2"/>
          <w:sz w:val="20"/>
          <w:szCs w:val="20"/>
        </w:rPr>
        <w:t xml:space="preserve"> </w:t>
      </w:r>
      <w:r>
        <w:rPr>
          <w:b/>
          <w:spacing w:val="2"/>
          <w:sz w:val="20"/>
          <w:szCs w:val="20"/>
        </w:rPr>
        <w:t xml:space="preserve">_</w:t>
      </w:r>
      <w:r>
        <w:rPr>
          <w:b/>
          <w:spacing w:val="2"/>
          <w:sz w:val="20"/>
          <w:szCs w:val="20"/>
        </w:rPr>
        <w:t xml:space="preserve">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</w:t>
      </w:r>
      <w:r>
        <w:rPr>
          <w:color w:val="000000"/>
          <w:sz w:val="20"/>
          <w:szCs w:val="20"/>
        </w:rPr>
        <w:t xml:space="preserve">, с другой стороны, именуемые в дальнейшем </w:t>
      </w:r>
      <w:r>
        <w:rPr>
          <w:color w:val="000000"/>
          <w:sz w:val="20"/>
          <w:szCs w:val="20"/>
        </w:rPr>
        <w:t xml:space="preserve">С</w:t>
      </w:r>
      <w:r>
        <w:rPr>
          <w:color w:val="000000"/>
          <w:sz w:val="20"/>
          <w:szCs w:val="20"/>
        </w:rPr>
        <w:t xml:space="preserve">торонами, </w:t>
      </w:r>
      <w:r>
        <w:rPr>
          <w:color w:val="000000"/>
          <w:sz w:val="20"/>
          <w:szCs w:val="20"/>
        </w:rPr>
        <w:t xml:space="preserve">в соответствии с пунктом __ части 1 статьи 93 Федерального закона № 44-ФЗ от 05 апреля 2013 года «О контрактной системе в сфере з</w:t>
      </w:r>
      <w:r>
        <w:rPr>
          <w:color w:val="000000"/>
          <w:sz w:val="20"/>
          <w:szCs w:val="20"/>
        </w:rPr>
        <w:t xml:space="preserve">акупок товаров, работ, услуг для обеспечения государственных и муниципальных нужд» и в соответствии со статьёй 24.7 Федерального закона от 24 июня 1998 года № 89-ФЗ «Об отходах производства и потребления», заключили настоящий  контракт (далее по тексту – «</w:t>
      </w:r>
      <w:r>
        <w:rPr>
          <w:color w:val="000000"/>
          <w:sz w:val="20"/>
          <w:szCs w:val="20"/>
        </w:rPr>
        <w:t xml:space="preserve">Контракт</w:t>
      </w:r>
      <w:r>
        <w:rPr>
          <w:color w:val="000000"/>
          <w:sz w:val="20"/>
          <w:szCs w:val="20"/>
        </w:rPr>
        <w:t xml:space="preserve">»), </w:t>
      </w:r>
      <w:r>
        <w:rPr>
          <w:color w:val="000000"/>
          <w:sz w:val="20"/>
          <w:szCs w:val="20"/>
        </w:rPr>
        <w:t xml:space="preserve">заключили настоящий </w:t>
      </w:r>
      <w:r>
        <w:rPr>
          <w:color w:val="000000"/>
          <w:sz w:val="20"/>
          <w:szCs w:val="20"/>
        </w:rPr>
        <w:t xml:space="preserve">Контракт</w:t>
      </w:r>
      <w:r>
        <w:rPr>
          <w:color w:val="000000"/>
          <w:sz w:val="20"/>
          <w:szCs w:val="20"/>
        </w:rPr>
        <w:t xml:space="preserve"> о нижеследующем:</w:t>
      </w:r>
      <w:r>
        <w:rPr>
          <w:color w:val="000000"/>
          <w:sz w:val="20"/>
          <w:szCs w:val="20"/>
        </w:rPr>
      </w:r>
    </w:p>
    <w:p>
      <w:pPr>
        <w:pStyle w:val="694"/>
        <w:ind w:firstLine="709"/>
        <w:spacing w:before="0"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" w:name="sub_2100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Предмет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</w:t>
      </w:r>
      <w:bookmarkEnd w:id="1"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 региональный оператор обязуется принимать твердые коммунальные отходы в объеме и (или) массе и в месте, которые определены в настоящем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е, и обеспечив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ать их транспортирование, обработку, энергетическую утилизацию, утилизацию твердых коммунальных отходов путем производства из их органической части искусственных грунтов, обезвреживание и захоронение твердых коммунальных отходов в соответствии с законодате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льством Российской Федерации, а потребитель обязуется оплачивать услуги регионального оператора по обращению с твердыми коммунальными отходами (далее - услуги) по цене, определенной в пределах утвержденного единого тарифа на услугу регионального оператора.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1.2. Объем и (или) масса твердых коммунальных отходов, места (площадки) накопл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ения твердых коммунальных отходов, в том числе крупногабаритных отходов, способ складирования и периодичность вывоза, а также информация о размещении мест (площадок) накопления твердых коммунальных отходов определяются согласно Приложению № 1 к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1.3. Датой начала оказания услуг считается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«____» 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1.4. Перечень отходов Потребителя, принимаемых Региональным оператором предусмотрен в Приложении № 3 к настоящему Контракту.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4"/>
        <w:ind w:firstLine="709"/>
        <w:spacing w:before="0"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2" w:name="sub_2200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Сроки и порядок оплаты по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</w:t>
      </w:r>
      <w:bookmarkEnd w:id="2"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2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Под расчётным периодом по настоящему контракту понимается один календарный месяц.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pStyle w:val="702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Источник финансирования: __________________________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_________________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______________________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___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_____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pStyle w:val="702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Идентификационный код закупки (ИКЗ):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_________________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_______________________________________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____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pStyle w:val="702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Оплата услуг по настоящему контракту осуществляется по цене за 1 (один) кубический метр твёрдых коммунальных отходов, равной единому тарифу на услугу, Регионального оператора, установленного Приказом №21/2021-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ТКО от 15.12.2021 года «Об установлении единых тарифов на услугу регионального оператора по обращению с твердыми коммунальными отходами» Департаментом государственного регулирования тарифов Краснодарского края с последующими изменениями указанного приказа.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Цена за 1 (один) кубический метр составляет ___________рублей 00 копеек</w:t>
      </w:r>
      <w:r>
        <w:rPr>
          <w:sz w:val="20"/>
          <w:szCs w:val="20"/>
        </w:rPr>
        <w:t xml:space="preserve">, НДС не облагается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</w:p>
    <w:p>
      <w:pPr>
        <w:pStyle w:val="702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Стоимость услуг по настоящему контракту по обращению с твердыми коммунальными отходами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за период действия настоящего Контракта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составляет: ___________ (________________________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____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____), НДС не облагается.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pStyle w:val="702"/>
        <w:ind w:firstLine="567"/>
        <w:jc w:val="both"/>
        <w:spacing w:line="22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изменения единого тарифа на услугу Регионального оператора такой тариф вступает в силу с даты вступления в силу соответствующего нормативно-правового акта уполномоченного органа исполнительной власти </w:t>
      </w:r>
      <w:r>
        <w:rPr>
          <w:rFonts w:ascii="Times New Roman" w:hAnsi="Times New Roman" w:cs="Times New Roman"/>
          <w:sz w:val="20"/>
          <w:szCs w:val="20"/>
        </w:rPr>
        <w:t xml:space="preserve">в области государственного регулирования тарифов (цен) </w:t>
      </w:r>
      <w:r>
        <w:rPr>
          <w:rFonts w:ascii="Times New Roman" w:hAnsi="Times New Roman" w:cs="Times New Roman"/>
          <w:sz w:val="20"/>
          <w:szCs w:val="20"/>
        </w:rPr>
        <w:t xml:space="preserve">Краснодарского края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Расчет размера ежемесячной платы предусмотрен в Приложении № 2 к настоящему Контракту.</w:t>
      </w:r>
      <w:r>
        <w:rPr>
          <w:sz w:val="20"/>
          <w:szCs w:val="20"/>
        </w:rPr>
      </w:r>
    </w:p>
    <w:p>
      <w:pPr>
        <w:pStyle w:val="702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3" w:name="sub_2007"/>
      <w:r>
        <w:rPr>
          <w:rFonts w:ascii="Times New Roman" w:hAnsi="Times New Roman" w:cs="Times New Roman"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Региональный оператор представляет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отребителю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счет и УПД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/Акт оказанных услуг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истекший расчетный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период, за который производится оплата.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Потребитель имеет право подавать мотивированные и документально подтвержденные возражения по указанным документам в течение 5 (пяти) календарных дней, за пределами указанного срока услуги считаются принятыми в полном объеме и подлежат оплате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2"/>
        <w:ind w:firstLine="567"/>
        <w:jc w:val="both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.3.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Потребитель оплачивает услуги по обращению с твёрдыми коммунальными отходами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срок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 10 (десятого) числа месяца, следующего за месяцем, в котором была оказана услуга по обращению с твё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рдыми коммунальными отходами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полученного от Регионального оператора счета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Сверка расчетов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 проводится между региональным оператором и потребителем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 реже чем один раз в год по инициативе одной из сторон путем составления и подписания сторонами соответствующего акта.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факсограмма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телефонограмма, информационно-телекоммуникационная сеть "Интернет"), позволяющим подтвердить получение такого акта адресатом. Другая сторона обязана подписать акт сверки расчетов в течение 3 рабочих дней со дня его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получения или представить мотивированный отказ от его подписания с направлением своего варианта акта сверки расчетов.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4"/>
        <w:ind w:firstLine="709"/>
        <w:spacing w:before="0" w:after="0"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4" w:name="sub_2400"/>
      <w:r/>
      <w:bookmarkEnd w:id="3"/>
      <w:r>
        <w:rPr>
          <w:rFonts w:ascii="Times New Roman" w:hAnsi="Times New Roman" w:cs="Times New Roman"/>
          <w:color w:val="000000"/>
          <w:sz w:val="20"/>
          <w:szCs w:val="20"/>
        </w:rPr>
        <w:t xml:space="preserve">III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Права и обязанности сторон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5" w:name="sub_2011"/>
      <w:r/>
      <w:bookmarkEnd w:id="4"/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.1.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Региональный оператор обязан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принимать твердые коммунальные отходы в объеме и (или) массе и в месте, которые предусмотрены в приложении к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обеспечивать транспортирование, обработку, э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нергетическую утилизацию, утилизацию твердых коммунальных отходов путем производства из их органической части искусственных грунтов, обезвреживание и захоронение принятых твердых коммунальных отходов в соответствии с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представлять потребителю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отвечать на жалобы и обращения потребителя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вопросам, связанным с исполнением настоящего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а, в течение срока, установленного законодательством Российской Федерации для рассмотрения обращений граждан;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д) не допускать повреждения контейнеров и (или) бункеров, принадлежащих потребителю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праве собственности или ином законном основании, при осуществлении вывоза твердых коммунальных отходов;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е) принимать необходимые меры по своевременной замене поврежденных контейнеров и (или) бункеров, принадлежащих ему на праве собственности или ином законном основании, в порядке и сроки, которые установлены законодательством субъекта Российской Федерации;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ж) осуществлять действия по подбору оброненных (просыпавшихся) при погрузке твердых коммунальных отходов и перемещению их в мусоровоз.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.2.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Региональный оператор имеет право: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обеспечивать учет объема и (или) массы твердых коммунальных отходов в 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"О коммерческом учете объема и (или) массы твердых коммунальных отходов";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инициировать проведение сверки расчетов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указывать в отношении контейнеров, используемых одним потребителем, объем, тип корпуса и ходовой части, а также способ захвата контейнера для целей обеспечения транспортирования твердых коммунальных отходов соответствующими транспортными средствами.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Потребитель обязан: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осуществлять складирование твердых коммунальных отходов в местах (площадках) накопления твердых коммунальных отходов, определенных приложением к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у, в соответствии с реестром мест (площадок) накопления твердых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отходов или иным способом в соответствии с Правилами обращения с твердыми коммунальными отходами, утвержденными постановлением Правительства Российской Федерации от 7 марта 2025 г. N 293 "О порядке обращения с твердыми коммунальными отходами";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обеспечивать учет объема и (или) массы твердых коммунальных отходов в 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N 671 "О коммерческом учете объема и (или) массы твердых коммунальных отходов";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производить оплату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 в порядке, размере и сроки, которые определены настоящим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ом;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не допускать повреждения кон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тейнеров и (или) бункеров, сжигания твердых коммунальных отходов в контейнерах и (или) бункерах, а также на контейнерных площадках, складирования в контейнерах и (или) бункерах запрещенных отходов и предметов, не являющихся твердыми коммунальными отходами;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д) определить лицо, ответственное за взаимодействие с региональным оператором по вопросам исполнения настоящего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а, и представить такую информацию региональному оператору;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е) уведомить регионального оператора о переходе прав на объекты потребителя, указанные в настоящем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е, к новому собственнику, а также об изменении иных документов и сведений, представленных региональному оператору в соответствии с положениями пунктов 14 и 15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равил обращения с твердыми коммунальными отходами, утвержденных постановлением Правительства Российской Федерации от 7 марта 2025 г. N 293 "О порядке обращения с твердыми коммунальными отходами", любым доступным способом (почтовое отправление, телеграмма,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факсограмма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телефонограмма, информационно-телекоммуникационная сеть "Интернет"), позволяющим подтвердить получение такого уведомления адресатом;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ж) осуществлять разделение твердых коммунальных отходов по видам отходов, группам отходов и группам однородных отходов и складирование таких твердых коммунальных отходов в отдельных контейнера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х, в том числе в контейнерах для раздельного накопления и пакетах для соответствующих видов отходов, групп отходов и групп однородных отходов (раздельное накопление), в соответствии с порядком накопления (в том числе раздельного накопления) твердых коммуна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льных отходов, утвержденным исполнительным органом субъекта Российской Федерации, а также с учетом требований к обращению с группами однородных отходов I - V классов опасности, установленных Министерством природных ресурсов и экологии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Потребитель имеет право: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инициировать проведение сверки расчетов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инициировать внесение изменений в условия настоящего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а, не противоречащих положениям Правил обращения с твердыми коммунальными отходами, утвержденных постановлением Правительства Российской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от 7 марта 2025 г. N 293 "О порядке обращения с твердыми коммунальными отходами";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28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получать иную информацию от регионального оператора, не противоречащую требованиям законодательства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4"/>
        <w:ind w:firstLine="709"/>
        <w:spacing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/>
      <w:bookmarkStart w:id="6" w:name="sub_2500"/>
      <w:r/>
      <w:bookmarkEnd w:id="5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V. Порядок осуществления уч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ё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 объема и (или) массы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694"/>
        <w:ind w:firstLine="709"/>
        <w:spacing w:before="0"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ё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рдых коммунальных отходов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ind w:firstLine="567"/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pPr>
      <w:r/>
      <w:bookmarkStart w:id="7" w:name="sub_2015"/>
      <w:r/>
      <w:bookmarkEnd w:id="6"/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4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1.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Стороны согласились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производить учет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объема  и  (или)  массы твердых  коммунальных  отходов  в  соот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ветствии  с Правилами коммерческого учета объема и (или) массы твердых коммунальных отходов, утвержденными постановлением Правительства  Российской Федерации от 24 мая 2024 г. N 671 "О коммерческом  учете объема и (или) массы твердых коммунальных отходов",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следующим способом: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r>
    </w:p>
    <w:p>
      <w:pPr>
        <w:ind w:firstLine="0"/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___________________________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_____________________________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_______________________________________________.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r>
    </w:p>
    <w:p>
      <w:pPr>
        <w:ind w:firstLine="567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pacing w:val="-5"/>
          <w:sz w:val="20"/>
          <w:szCs w:val="20"/>
        </w:rPr>
        <w:t xml:space="preserve">   (указывается способ коммерческого учета объема и (или) массы твердых коммунальных отходов</w:t>
      </w:r>
      <w:r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)</w:t>
      </w:r>
      <w:r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r>
    </w:p>
    <w:p>
      <w:pPr>
        <w:pStyle w:val="694"/>
        <w:ind w:firstLine="709"/>
        <w:spacing w:before="0" w:after="0"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8" w:name="sub_2600"/>
      <w:r/>
      <w:bookmarkEnd w:id="7"/>
      <w:r>
        <w:rPr>
          <w:rFonts w:ascii="Times New Roman" w:hAnsi="Times New Roman" w:cs="Times New Roman"/>
          <w:color w:val="000000"/>
          <w:sz w:val="20"/>
          <w:szCs w:val="20"/>
        </w:rPr>
        <w:t xml:space="preserve">V. Порядок фиксации нарушений по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9" w:name="sub_2016"/>
      <w:r/>
      <w:bookmarkEnd w:id="8"/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нарушения региональным оператором обязательств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 потребитель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участием представителя регионального оператора составляет акт о нарушении региональным оператором обязательств по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 (далее - акт) и вручает его представителю регионального оператора. При неявке представителя регионального оператора потребитель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оставляет акт в присутствии не менее чем 2 незаинтересованных лиц или с использованием фото- и (или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потребителем, любым доступным способом, позволяющим подтвердить его получение адресатом.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Региональный оператор в течение 3 рабочих дней со дня получения акта подписывает его и направляет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потребителю.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случае несогласия с содержанием акта региональный оператор вправе подать возражение в отношении акта (далее - возражение) с мотивированным указанием причин своего несогласия и направить возражение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потребителю)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3 рабочих дней со дня получения акта.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.2. 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.3. В случае если региональный оператор не направил подписанный акт или возражение в течение 3 рабочих дней со дня получения акта, акт считается согласованным и подписанным региональным оператором.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.4. В случае получения от регионального оператора возражения потребитель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обязан рассмотреть возражение и в случае согласия с возражением внести соответствующие изменения в акт.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несогласия потребителя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возражением разногласия отражаются в акте и подлежат урегулированию в судебном порядке.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.5. Акт должен содержать: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а) сведения о заявителе (наименование, местонахождение, адрес);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в) сведения о нарушении соответствующих пунктов настоящего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а;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г) другие сведения по усмотрению стороны, в том числе материалы фото- и видеосъемки.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.6. Потребитель направляет копию акта в уполномоченный исполнительный орган субъекта Российской Федерации, с которым региональным оператором заключено соглашение об организации деятельности по обращению с твердыми коммунальными отходами.</w:t>
      </w:r>
      <w:bookmarkEnd w:id="9"/>
      <w:r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4"/>
        <w:ind w:firstLine="709"/>
        <w:spacing w:before="0" w:after="0"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0" w:name="sub_2700"/>
      <w:r>
        <w:rPr>
          <w:rFonts w:ascii="Times New Roman" w:hAnsi="Times New Roman" w:cs="Times New Roman"/>
          <w:color w:val="000000"/>
          <w:sz w:val="20"/>
          <w:szCs w:val="20"/>
        </w:rPr>
        <w:t xml:space="preserve">V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Ответственность сторон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/>
      <w:bookmarkStart w:id="11" w:name="sub_2021"/>
      <w:r/>
      <w:bookmarkEnd w:id="10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6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За неисполнение или ненадлежащее исполнение обязательств по настоящему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 стороны несут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6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.2. В случае неисполнения либо ненадлежащего исполнения потребителем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обязательств по оплате услуг по настоящему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у региональный оператор вправе потребовать от потребителя уплаты неустойки в размере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1/130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(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одной сто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тридцатой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)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просрочки, если иной размер неустойки не установлен федеральным законом.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</w:r>
    </w:p>
    <w:p>
      <w:pPr>
        <w:ind w:firstLine="567"/>
        <w:spacing w:line="233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6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.3. В случае предоставления в расчетном периоде потребителю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услуг с отклонениями, превышающими 2 дня единовременно (при среднесуточной температуре воздуха +5 °C и ниже) и 1 день единовременно (при среднесуточной температуре воздуха свыше +5 °C), начиная со дня, следующего за днем, когда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должен был быть осуществлен вывоз твердых коммунальных отходов, размер платы за услуги за такой расчетный период снижается за каждый день отклонения на 3,3 процента размера платы, определенного за расчетный период, в котором произошло указанное отклонение.</w:t>
      </w:r>
      <w:bookmarkEnd w:id="11"/>
      <w:r/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94"/>
        <w:ind w:firstLine="709"/>
        <w:spacing w:before="0" w:after="0" w:line="245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2" w:name="sub_2900"/>
      <w:r>
        <w:rPr>
          <w:rFonts w:ascii="Times New Roman" w:hAnsi="Times New Roman" w:cs="Times New Roman"/>
          <w:color w:val="000000"/>
          <w:sz w:val="20"/>
          <w:szCs w:val="20"/>
        </w:rPr>
        <w:t xml:space="preserve">VII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Действие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/>
      <w:bookmarkStart w:id="13" w:name="sub_2028"/>
      <w:r/>
      <w:bookmarkEnd w:id="12"/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7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.1. Настоящий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заключается на срок до 31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____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.202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года включительно и распространяется на отношения, фактически существующие между сторонами с 01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_________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.202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__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года.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7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2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. Настоящий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может быть расторгнут до окончания срока его действия по соглашению сторон, а также в случаях и порядке,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</w:r>
    </w:p>
    <w:p>
      <w:pPr>
        <w:pStyle w:val="694"/>
        <w:ind w:firstLine="709"/>
        <w:spacing w:before="0" w:after="0"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4" w:name="_Hlk25142472"/>
      <w:r>
        <w:rPr>
          <w:rFonts w:ascii="Times New Roman" w:hAnsi="Times New Roman" w:cs="Times New Roman"/>
          <w:color w:val="000000"/>
          <w:sz w:val="20"/>
          <w:szCs w:val="20"/>
        </w:rPr>
        <w:t xml:space="preserve">VII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Разрешение споров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02"/>
        <w:ind w:firstLine="567"/>
        <w:jc w:val="both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</w:pPr>
      <w:r/>
      <w:bookmarkStart w:id="15" w:name="sub_2101"/>
      <w:r/>
      <w:bookmarkEnd w:id="13"/>
      <w:r/>
      <w:bookmarkEnd w:id="14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8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.1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. Все споры и разногласия, возникшие в ходе исполнения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настоящего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а или в связи с ним, разрешаются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торонами пут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ём переговоров либо </w:t>
      </w:r>
      <w:r>
        <w:rPr>
          <w:rFonts w:ascii="Times New Roman" w:hAnsi="Times New Roman" w:cs="Times New Roman"/>
          <w:sz w:val="20"/>
          <w:szCs w:val="20"/>
        </w:rPr>
        <w:t xml:space="preserve">направления и рассмотрения письменных претензий.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right="5" w:firstLine="567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8</w:t>
      </w:r>
      <w:r>
        <w:rPr>
          <w:rFonts w:ascii="Times New Roman" w:hAnsi="Times New Roman" w:cs="Times New Roman"/>
          <w:sz w:val="20"/>
          <w:szCs w:val="20"/>
        </w:rPr>
        <w:t xml:space="preserve">.2. Сторона, получившая письменную претензию, должна рассмотреть такую претензию по существу, и направить другой стороне ответ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течение 10 (десяти) календарных дней с даты ее получения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</w:pPr>
      <w:r/>
      <w:bookmarkStart w:id="16" w:name="_ref_1-1faab982682e4a"/>
      <w:r>
        <w:rPr>
          <w:rFonts w:ascii="Times New Roman" w:hAnsi="Times New Roman" w:cs="Times New Roman"/>
          <w:sz w:val="20"/>
          <w:szCs w:val="20"/>
        </w:rPr>
        <w:t xml:space="preserve">8</w:t>
      </w:r>
      <w:r>
        <w:rPr>
          <w:rFonts w:ascii="Times New Roman" w:hAnsi="Times New Roman" w:cs="Times New Roman"/>
          <w:sz w:val="20"/>
          <w:szCs w:val="20"/>
        </w:rPr>
        <w:t xml:space="preserve">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Разногласия, не урегулированные сторонами путём переговоров либо в претензионном порядке, подлежат рассмотрению в </w:t>
      </w:r>
      <w:r>
        <w:rPr>
          <w:rFonts w:ascii="Times New Roman" w:hAnsi="Times New Roman" w:cs="Times New Roman"/>
          <w:sz w:val="20"/>
          <w:szCs w:val="20"/>
        </w:rPr>
        <w:t xml:space="preserve">Арбитражном </w:t>
      </w:r>
      <w:r>
        <w:rPr>
          <w:rFonts w:ascii="Times New Roman" w:hAnsi="Times New Roman" w:cs="Times New Roman"/>
          <w:sz w:val="20"/>
          <w:szCs w:val="20"/>
        </w:rPr>
        <w:t xml:space="preserve">суде Краснодарского</w:t>
      </w:r>
      <w:r>
        <w:rPr>
          <w:rFonts w:ascii="Times New Roman" w:hAnsi="Times New Roman" w:cs="Times New Roman"/>
          <w:sz w:val="20"/>
          <w:szCs w:val="20"/>
        </w:rPr>
        <w:t xml:space="preserve"> края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tabs>
          <w:tab w:val="left" w:pos="113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</w:t>
      </w:r>
      <w:r>
        <w:rPr>
          <w:rFonts w:ascii="Times New Roman" w:hAnsi="Times New Roman" w:cs="Times New Roman"/>
          <w:sz w:val="20"/>
          <w:szCs w:val="20"/>
        </w:rPr>
        <w:t xml:space="preserve">.4. Стороны согласовали, что электронная переписка </w:t>
      </w:r>
      <w:r>
        <w:rPr>
          <w:rFonts w:ascii="Times New Roman" w:hAnsi="Times New Roman" w:cs="Times New Roman"/>
          <w:sz w:val="20"/>
          <w:szCs w:val="20"/>
        </w:rPr>
        <w:t xml:space="preserve">сторон </w:t>
      </w:r>
      <w:r>
        <w:rPr>
          <w:rFonts w:ascii="Times New Roman" w:hAnsi="Times New Roman" w:cs="Times New Roman"/>
          <w:sz w:val="20"/>
          <w:szCs w:val="20"/>
        </w:rPr>
        <w:t xml:space="preserve">посредством обмена корреспонденцией по e-</w:t>
      </w:r>
      <w:r>
        <w:rPr>
          <w:rFonts w:ascii="Times New Roman" w:hAnsi="Times New Roman" w:cs="Times New Roman"/>
          <w:sz w:val="20"/>
          <w:szCs w:val="20"/>
        </w:rPr>
        <w:t xml:space="preserve">mail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осуществляемая в рамках выполнения настоящего </w:t>
      </w:r>
      <w:r>
        <w:rPr>
          <w:rFonts w:ascii="Times New Roman" w:hAnsi="Times New Roman" w:cs="Times New Roman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sz w:val="20"/>
          <w:szCs w:val="20"/>
        </w:rPr>
        <w:t xml:space="preserve">а, </w:t>
      </w:r>
      <w:r>
        <w:rPr>
          <w:rFonts w:ascii="Times New Roman" w:hAnsi="Times New Roman" w:cs="Times New Roman"/>
          <w:sz w:val="20"/>
          <w:szCs w:val="20"/>
        </w:rPr>
        <w:t xml:space="preserve">а также переписка по </w:t>
      </w:r>
      <w:r>
        <w:rPr>
          <w:rFonts w:ascii="Times New Roman" w:hAnsi="Times New Roman" w:cs="Times New Roman"/>
          <w:sz w:val="20"/>
          <w:szCs w:val="20"/>
        </w:rPr>
        <w:t xml:space="preserve">социальным м</w:t>
      </w:r>
      <w:r>
        <w:rPr>
          <w:rFonts w:ascii="Times New Roman" w:hAnsi="Times New Roman" w:cs="Times New Roman"/>
          <w:sz w:val="20"/>
          <w:szCs w:val="20"/>
        </w:rPr>
        <w:t xml:space="preserve">ессенджерам и/или разговоры по телефонным номерам, указан</w:t>
      </w:r>
      <w:r>
        <w:rPr>
          <w:rFonts w:ascii="Times New Roman" w:hAnsi="Times New Roman" w:cs="Times New Roman"/>
          <w:sz w:val="20"/>
          <w:szCs w:val="20"/>
        </w:rPr>
        <w:t xml:space="preserve">н</w:t>
      </w:r>
      <w:r>
        <w:rPr>
          <w:rFonts w:ascii="Times New Roman" w:hAnsi="Times New Roman" w:cs="Times New Roman"/>
          <w:sz w:val="20"/>
          <w:szCs w:val="20"/>
        </w:rPr>
        <w:t xml:space="preserve">ы</w:t>
      </w:r>
      <w:r>
        <w:rPr>
          <w:rFonts w:ascii="Times New Roman" w:hAnsi="Times New Roman" w:cs="Times New Roman"/>
          <w:sz w:val="20"/>
          <w:szCs w:val="20"/>
        </w:rPr>
        <w:t xml:space="preserve">м</w:t>
      </w:r>
      <w:r>
        <w:rPr>
          <w:rFonts w:ascii="Times New Roman" w:hAnsi="Times New Roman" w:cs="Times New Roman"/>
          <w:sz w:val="20"/>
          <w:szCs w:val="20"/>
        </w:rPr>
        <w:t xml:space="preserve"> в настоящем </w:t>
      </w:r>
      <w:r>
        <w:rPr>
          <w:rFonts w:ascii="Times New Roman" w:hAnsi="Times New Roman" w:cs="Times New Roman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sz w:val="20"/>
          <w:szCs w:val="20"/>
        </w:rPr>
        <w:t xml:space="preserve">е, имеет юридическую силу и является письменным доказательством в соответстви</w:t>
      </w:r>
      <w:r>
        <w:rPr>
          <w:rFonts w:ascii="Times New Roman" w:hAnsi="Times New Roman" w:cs="Times New Roman"/>
          <w:sz w:val="20"/>
          <w:szCs w:val="20"/>
        </w:rPr>
        <w:t xml:space="preserve">и нормами гражданского </w:t>
      </w:r>
      <w:r>
        <w:rPr>
          <w:rFonts w:ascii="Times New Roman" w:hAnsi="Times New Roman" w:cs="Times New Roman"/>
          <w:sz w:val="20"/>
          <w:szCs w:val="20"/>
        </w:rPr>
        <w:t xml:space="preserve">процессуального </w:t>
      </w:r>
      <w:r>
        <w:rPr>
          <w:rFonts w:ascii="Times New Roman" w:hAnsi="Times New Roman" w:cs="Times New Roman"/>
          <w:sz w:val="20"/>
          <w:szCs w:val="20"/>
        </w:rPr>
        <w:t xml:space="preserve">законодательства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Датой передачи соответствующего сообщения считается день его отправления.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уведомления и сообщения, отправленные </w:t>
      </w:r>
      <w:r>
        <w:rPr>
          <w:rFonts w:ascii="Times New Roman" w:hAnsi="Times New Roman" w:cs="Times New Roman"/>
          <w:sz w:val="20"/>
          <w:szCs w:val="20"/>
        </w:rPr>
        <w:t xml:space="preserve">с</w:t>
      </w:r>
      <w:r>
        <w:rPr>
          <w:rFonts w:ascii="Times New Roman" w:hAnsi="Times New Roman" w:cs="Times New Roman"/>
          <w:sz w:val="20"/>
          <w:szCs w:val="20"/>
        </w:rPr>
        <w:t xml:space="preserve">торонами друг другу по адресам электронной почты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признаются официальной перепиской в рамках настоящего </w:t>
      </w:r>
      <w:r>
        <w:rPr>
          <w:rFonts w:ascii="Times New Roman" w:hAnsi="Times New Roman" w:cs="Times New Roman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Ответственность за получение сообщений и уведомлений вышеуказанным способом лежит на получающей </w:t>
      </w:r>
      <w:r>
        <w:rPr>
          <w:rFonts w:ascii="Times New Roman" w:hAnsi="Times New Roman" w:cs="Times New Roman"/>
          <w:sz w:val="20"/>
          <w:szCs w:val="20"/>
        </w:rPr>
        <w:t xml:space="preserve">с</w:t>
      </w:r>
      <w:r>
        <w:rPr>
          <w:rFonts w:ascii="Times New Roman" w:hAnsi="Times New Roman" w:cs="Times New Roman"/>
          <w:sz w:val="20"/>
          <w:szCs w:val="20"/>
        </w:rPr>
        <w:t xml:space="preserve">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 форс-мажорных обстоятельств.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Стороны соглашаются, что все документы по настоящему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у, передача которых необходима в оригинале без использования электронной почты, могут вручаться путем доставки лично в руки под расписку (проставление даты и подписи о получении на копии доставленного документа) непосредственно представителю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с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тороны настоящего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а. Датой получения (датой доставки), соответственно, будет дата, проставленная на копии полученного документа. Уполномоченным на получ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ение документов представителем с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тороны является любой сотрудник, находящийся по адресу, указанному в реквизитах настоящего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а, на момент доставки документа. Также указанные документы могут доставляться курьерскими и почтовыми службами.</w:t>
      </w:r>
      <w:r>
        <w:rPr>
          <w:rFonts w:ascii="Times New Roman" w:hAnsi="Times New Roman" w:cs="Times New Roman"/>
          <w:spacing w:val="-2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настоящим подтверждают, что в процессе взаимодействия в рамках настоящего </w:t>
      </w:r>
      <w:r>
        <w:rPr>
          <w:rFonts w:ascii="Times New Roman" w:hAnsi="Times New Roman" w:cs="Times New Roman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sz w:val="20"/>
          <w:szCs w:val="20"/>
        </w:rPr>
        <w:t xml:space="preserve">а надлежащим способом отправки и получения информации, да</w:t>
      </w:r>
      <w:r>
        <w:rPr>
          <w:rFonts w:ascii="Times New Roman" w:hAnsi="Times New Roman" w:cs="Times New Roman"/>
          <w:sz w:val="20"/>
          <w:szCs w:val="20"/>
        </w:rPr>
        <w:t xml:space="preserve">нных, заявок, документов </w:t>
      </w:r>
      <w:r>
        <w:rPr>
          <w:rFonts w:ascii="Times New Roman" w:hAnsi="Times New Roman" w:cs="Times New Roman"/>
          <w:sz w:val="20"/>
          <w:szCs w:val="20"/>
        </w:rPr>
        <w:t xml:space="preserve">(вся информация, данные и документы, полученные или отправленн</w:t>
      </w:r>
      <w:r>
        <w:rPr>
          <w:rFonts w:ascii="Times New Roman" w:hAnsi="Times New Roman" w:cs="Times New Roman"/>
          <w:sz w:val="20"/>
          <w:szCs w:val="20"/>
        </w:rPr>
        <w:t xml:space="preserve">ые таким способом имеют юридическую силу, а скриншоты и сканы, полученные таким способом являются доказательством в случае судебного разбирательства без нотариального удостоверения) является взаимодействие по телефонам и адресам электронной почты, указанны</w:t>
      </w:r>
      <w:r>
        <w:rPr>
          <w:rFonts w:ascii="Times New Roman" w:hAnsi="Times New Roman" w:cs="Times New Roman"/>
          <w:sz w:val="20"/>
          <w:szCs w:val="20"/>
        </w:rPr>
        <w:t xml:space="preserve">м</w:t>
      </w:r>
      <w:r>
        <w:rPr>
          <w:rFonts w:ascii="Times New Roman" w:hAnsi="Times New Roman" w:cs="Times New Roman"/>
          <w:sz w:val="20"/>
          <w:szCs w:val="20"/>
        </w:rPr>
        <w:t xml:space="preserve"> в настоящем </w:t>
      </w:r>
      <w:r>
        <w:rPr>
          <w:rFonts w:ascii="Times New Roman" w:hAnsi="Times New Roman" w:cs="Times New Roman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sz w:val="20"/>
          <w:szCs w:val="20"/>
        </w:rPr>
        <w:t xml:space="preserve">е и приложениях к нему. </w:t>
      </w:r>
      <w:bookmarkEnd w:id="16"/>
      <w:r>
        <w:rPr>
          <w:rFonts w:ascii="Times New Roman" w:hAnsi="Times New Roman" w:cs="Times New Roman"/>
          <w:sz w:val="20"/>
          <w:szCs w:val="20"/>
        </w:rPr>
      </w:r>
    </w:p>
    <w:p>
      <w:pPr>
        <w:pStyle w:val="694"/>
        <w:ind w:firstLine="709"/>
        <w:spacing w:before="0" w:after="0"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X. Прочие условия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/>
      <w:bookmarkStart w:id="17" w:name="sub_2029"/>
      <w:r/>
      <w:bookmarkEnd w:id="15"/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Все изменения, которые вносятся в настоящий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считаются действительными, если они (в письменной форме) подписаны уполномоченными на то лицами сторон и заверены печатями сторон (при их наличии).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.2. В случае изменения наименова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ния, местонахождения и банковских реквизитов сторона обязана уведомить об этом другую сторону (в письменной форме)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.3. При исполнении настоящего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 стороны обязуются руководствоваться законодательством Российской Федерации, в том числе положен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иями Федерального закона "Об отходах производства и потребления",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твердыми коммунальными отходами.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.4. Настоящий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 в 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(двух)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экземплярах, имеющих равную юридическую силу.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.5. Приложение к настоящему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Контракт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 является его неотъемлемой частью.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.6. Спорные вопросы между сторонами урегулируются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567"/>
        <w:spacing w:line="25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bookmarkEnd w:id="17"/>
      <w:r>
        <w:rPr>
          <w:rFonts w:ascii="Times New Roman" w:hAnsi="Times New Roman" w:cs="Times New Roman"/>
          <w:color w:val="000000"/>
          <w:sz w:val="20"/>
          <w:szCs w:val="20"/>
        </w:rPr>
      </w:r>
    </w:p>
    <w:tbl>
      <w:tblPr>
        <w:tblStyle w:val="709"/>
        <w:tblW w:w="99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59"/>
        <w:gridCol w:w="4695"/>
      </w:tblGrid>
      <w:tr>
        <w:tblPrEx/>
        <w:trPr>
          <w:trHeight w:val="196"/>
        </w:trPr>
        <w:tc>
          <w:tcPr>
            <w:tcW w:w="5259" w:type="dxa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Региональный оператор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69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Потребитель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96"/>
        </w:trPr>
        <w:tc>
          <w:tcPr>
            <w:tcW w:w="525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ООО 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Экотехпром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469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51"/>
        </w:trPr>
        <w:tc>
          <w:tcPr>
            <w:tcW w:w="525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дрес государственной 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140080, РФ, Московская обл.,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Лыткарино,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Лыткарино, тер. промзона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Тураево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стр. 14,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 Р, этаж 2, пом. 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ИНН/КПП 5026014960/502701001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ОКПО 68151408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1105027011110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Фактический адрес: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353451, Краснодарский край, г.-к. Анапа, ул. Парковая,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этаж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Почтовый адрес: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353451, Краснодарский край, г.-к. Анапа, ул. Парковая,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этаж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р/с 40702810330000050830 в ПАО «Сбербанк» Краснодарское отделение №8619 к/с 30101810100000000602, БИК 040349602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8(861)201-89-99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@etp-tko.ru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</w:p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W w:w="469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/>
            <w:bookmarkStart w:id="18" w:name="_GoBack"/>
            <w:r/>
            <w:bookmarkEnd w:id="18"/>
            <w:r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r>
          </w:p>
        </w:tc>
      </w:tr>
    </w:tbl>
    <w:p>
      <w:pPr>
        <w:ind w:firstLine="0"/>
        <w:jc w:val="left"/>
        <w:rPr>
          <w:rStyle w:val="699"/>
          <w:rFonts w:ascii="Times New Roman" w:hAnsi="Times New Roman" w:cs="Times New Roman"/>
          <w:color w:val="000000"/>
          <w:sz w:val="20"/>
          <w:szCs w:val="20"/>
        </w:rPr>
      </w:pPr>
      <w:r/>
      <w:bookmarkStart w:id="19" w:name="_Hlk206585870"/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 xml:space="preserve">от Регионального оператора</w:t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 xml:space="preserve">от Потребителя</w:t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left"/>
        <w:rPr>
          <w:rFonts w:ascii="Times New Roman" w:hAnsi="Times New Roman" w:cs="Times New Roman"/>
          <w:b/>
          <w:color w:val="000000"/>
          <w:sz w:val="20"/>
          <w:szCs w:val="20"/>
        </w:rPr>
      </w:pPr>
      <w:r/>
      <w:bookmarkStart w:id="20" w:name="_Hlk1029682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 /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/</w:t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 / __________ /</w:t>
      </w:r>
      <w:bookmarkEnd w:id="20"/>
      <w:r/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left"/>
        <w:rPr>
          <w:rStyle w:val="699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 xml:space="preserve">МП</w:t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  <w:t xml:space="preserve">     МП</w:t>
      </w:r>
      <w:bookmarkEnd w:id="19"/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jc w:val="left"/>
        <w:rPr>
          <w:rStyle w:val="699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0"/>
        <w:jc w:val="left"/>
        <w:rPr>
          <w:rStyle w:val="699"/>
          <w:rFonts w:ascii="Times New Roman" w:hAnsi="Times New Roman" w:cs="Times New Roman"/>
          <w:color w:val="000000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851" w:right="566" w:bottom="709" w:left="1134" w:header="284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color w:val="000000"/>
          <w:sz w:val="20"/>
          <w:szCs w:val="20"/>
        </w:rPr>
      </w:r>
    </w:p>
    <w:p>
      <w:pPr>
        <w:ind w:left="9498" w:firstLine="0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Приложение№1</w:t>
      </w:r>
      <w:bookmarkStart w:id="21" w:name="_Hlk25142610"/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9498" w:firstLine="0"/>
        <w:spacing w:line="223" w:lineRule="auto"/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к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 Контракту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№ _______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_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_ от________________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20___г.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</w:r>
    </w:p>
    <w:p>
      <w:pPr>
        <w:ind w:firstLine="9498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на оказание услуг по обращению с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9498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твёрдыми коммунальными отходами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9498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по Крымской зоне деятельности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9498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Регионального оператора в Краснодарском крае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для юридических лиц </w:t>
      </w:r>
      <w:bookmarkEnd w:id="21"/>
      <w:r/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</w:r>
    </w:p>
    <w:p>
      <w:pPr>
        <w:jc w:val="center"/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jc w:val="center"/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ИНФОРМАЦИЯ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jc w:val="center"/>
        <w:spacing w:line="223" w:lineRule="auto"/>
        <w:tabs>
          <w:tab w:val="center" w:pos="7645" w:leader="none"/>
          <w:tab w:val="right" w:pos="14570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center"/>
        <w:tabs>
          <w:tab w:val="left" w:pos="4656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 предмету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Контракта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на оказание услуг по обращению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jc w:val="center"/>
        <w:tabs>
          <w:tab w:val="left" w:pos="4656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 твердыми коммунальными отходами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417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984"/>
        <w:gridCol w:w="2098"/>
        <w:gridCol w:w="1644"/>
        <w:gridCol w:w="1814"/>
        <w:gridCol w:w="1814"/>
        <w:gridCol w:w="1304"/>
        <w:gridCol w:w="3517"/>
      </w:tblGrid>
      <w:tr>
        <w:tblPrEx/>
        <w:trPr>
          <w:trHeight w:val="2278"/>
        </w:trPr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Наименование источника образования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Местонахождение источника образования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Количество принимаемых твердых коммунальных отходов (куб. метров или тонн)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Место (площадка) накопления или место погрузки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Место (площадка) накопления или место погрузки крупногабаритных отходов (при наличии)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График вывоза твердых коммунальных отходов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35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Способ складирования твердых коммунальных отходов в соответствии с </w:t>
            </w:r>
            <w:hyperlink w:tooltip="ПРАВИЛА ОБРАЩЕНИЯ С ТВЕРДЫМИ КОММУНАЛЬНЫМИ ОТХОДАМИ" w:anchor="P35" w:history="1">
              <w:r>
                <w:rPr>
                  <w:rFonts w:ascii="Times New Roman" w:hAnsi="Times New Roman" w:cs="Times New Roman" w:eastAsiaTheme="minorEastAsia"/>
                  <w:b/>
                  <w:sz w:val="20"/>
                  <w:szCs w:val="20"/>
                </w:rPr>
                <w:t xml:space="preserve">Правилами</w:t>
              </w:r>
            </w:hyperlink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 обращения с твердыми коммунальными отходами, утвержденными постановлением Правительства Российской Федерации от 7 марта 2025 г. N 293 "О порядке обращения с твердыми коммунальными отходами"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  <w:tc>
          <w:tcPr>
            <w:tcW w:w="35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 w:eastAsiaTheme="minorEastAs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64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  <w:tc>
          <w:tcPr>
            <w:tcW w:w="351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</w:rPr>
            </w:r>
          </w:p>
        </w:tc>
      </w:tr>
    </w:tbl>
    <w:p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709"/>
        <w:tblW w:w="0" w:type="auto"/>
        <w:tblInd w:w="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12"/>
        <w:gridCol w:w="6627"/>
      </w:tblGrid>
      <w:tr>
        <w:tblPrEx/>
        <w:trPr/>
        <w:tc>
          <w:tcPr>
            <w:tcW w:w="751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Регионального оператора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/___________________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2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Потребителя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10490" w:firstLine="0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firstLine="0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hanging="284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Приложение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№2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hanging="284"/>
        <w:spacing w:line="223" w:lineRule="auto"/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к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Контракту 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№ ____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__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 от_____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__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______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20___г.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</w:r>
    </w:p>
    <w:p>
      <w:pPr>
        <w:ind w:firstLine="10206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на оказание услуг по обращению с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твёрдыми коммунальными отходами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по Крымской зоне деятельности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Регионального оператора в Краснодарском крае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для юридических лиц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</w:r>
    </w:p>
    <w:p>
      <w:pPr>
        <w:ind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"/>
        <w:gridCol w:w="539"/>
        <w:gridCol w:w="539"/>
        <w:gridCol w:w="1702"/>
        <w:gridCol w:w="1477"/>
        <w:gridCol w:w="2105"/>
        <w:gridCol w:w="1365"/>
        <w:gridCol w:w="2614"/>
        <w:gridCol w:w="1093"/>
        <w:gridCol w:w="1070"/>
        <w:gridCol w:w="148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Адрес объекта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Количество расчетных единиц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Норматив на 1 ед. (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куб.м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Объем принимаемых ТКО в месяц, 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куб.м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Месяц оказания услуги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Единый тариф на услугу регионального оператора, руб./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куб.м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Ставка НДС (%)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Сумма НДС (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Общая сумма оплаты за ТКО, 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руб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8"/>
        </w:trPr>
        <w:tc>
          <w:tcPr>
            <w:gridSpan w:val="2"/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9"/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mo" w:cs="Times New Roman"/>
                <w:color w:val="000000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709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55"/>
        <w:gridCol w:w="6910"/>
      </w:tblGrid>
      <w:tr>
        <w:tblPrEx/>
        <w:trPr/>
        <w:tc>
          <w:tcPr>
            <w:tcW w:w="765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Регионального оператора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</w:t>
            </w:r>
            <w:r>
              <w:t xml:space="preserve">___________________</w:t>
            </w:r>
            <w:r/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910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Потребителя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10490" w:hanging="284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Приложение№ 3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left="10490" w:hanging="284"/>
        <w:spacing w:line="223" w:lineRule="auto"/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к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Контракту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№ ______ от___________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20___г.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Style w:val="699"/>
          <w:rFonts w:ascii="Times New Roman" w:hAnsi="Times New Roman" w:cs="Times New Roman"/>
          <w:i/>
          <w:color w:val="auto"/>
          <w:sz w:val="20"/>
          <w:szCs w:val="20"/>
        </w:rPr>
      </w:r>
    </w:p>
    <w:p>
      <w:pPr>
        <w:ind w:firstLine="10206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на оказание услуг по обращению с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твёрдыми коммунальными отходами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по Крымской зоне деятельности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Регионального оператора в Краснодарском крае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Style w:val="699"/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ind w:firstLine="10206"/>
        <w:spacing w:line="223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для юридических лиц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</w:r>
    </w:p>
    <w:p>
      <w:pPr>
        <w:tabs>
          <w:tab w:val="left" w:pos="1233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center"/>
        <w:widowControl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Перечень твердых коммунальных отходов Потребителя.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</w:r>
    </w:p>
    <w:p>
      <w:pPr>
        <w:ind w:firstLine="0"/>
        <w:spacing w:after="160" w:line="259" w:lineRule="auto"/>
        <w:widowControl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/>
      </w:r>
      <w:bookmarkStart w:id="22" w:name="Приложение3_АБtbl"/>
      <w:r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⁠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22"/>
      <w:r/>
      <w:r>
        <w:rPr>
          <w:rFonts w:ascii="Times New Roman" w:hAnsi="Times New Roman" w:cs="Times New Roman"/>
          <w:color w:val="000000"/>
          <w:sz w:val="20"/>
          <w:szCs w:val="20"/>
        </w:rPr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1124"/>
        <w:gridCol w:w="4962"/>
        <w:gridCol w:w="1984"/>
        <w:gridCol w:w="2552"/>
        <w:gridCol w:w="3969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2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6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Наименование отходов в соответствии с ФККО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Код по ФККО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Класс опасности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Объем в мес. (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куб.м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  <w:t xml:space="preserve">.)</w:t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2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96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4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96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Arimo" w:cs="Times New Roman"/>
                <w:b/>
                <w:color w:val="000000"/>
                <w:sz w:val="20"/>
                <w:szCs w:val="20"/>
              </w:rPr>
            </w:r>
          </w:p>
        </w:tc>
      </w:tr>
    </w:tbl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709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85"/>
        <w:gridCol w:w="7280"/>
      </w:tblGrid>
      <w:tr>
        <w:tblPrEx/>
        <w:trPr/>
        <w:tc>
          <w:tcPr>
            <w:tcW w:w="728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Регионального оператора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/______________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280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Потребителя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tabs>
          <w:tab w:val="left" w:pos="122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10490" w:firstLine="0"/>
        <w:spacing w:line="223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10"/>
      <w:footnotePr/>
      <w:endnotePr/>
      <w:type w:val="nextPage"/>
      <w:pgSz w:w="16838" w:h="11906" w:orient="landscape"/>
      <w:pgMar w:top="709" w:right="1134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Arimo">
    <w:panose1 w:val="020B0604030504040204"/>
  </w:font>
  <w:font w:name="Courier New">
    <w:panose1 w:val="02070309020205020404"/>
  </w:font>
  <w:font w:name="Times New Roman">
    <w:panose1 w:val="020206030504050203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70938640"/>
      <w:docPartObj>
        <w:docPartGallery w:val="Page Numbers (Top of Page)"/>
        <w:docPartUnique w:val="true"/>
      </w:docPartObj>
      <w:rPr/>
    </w:sdtPr>
    <w:sdtContent>
      <w:p>
        <w:pPr>
          <w:pStyle w:val="70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7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46" w:hanging="120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1850" w:hanging="120"/>
      </w:pPr>
    </w:lvl>
    <w:lvl w:ilvl="2">
      <w:start w:val="1"/>
      <w:numFmt w:val="bullet"/>
      <w:isLgl w:val="false"/>
      <w:suff w:val="tab"/>
      <w:lvlText w:val="•"/>
      <w:lvlJc w:val="left"/>
      <w:pPr>
        <w:ind w:left="2761" w:hanging="120"/>
      </w:pPr>
    </w:lvl>
    <w:lvl w:ilvl="3">
      <w:start w:val="1"/>
      <w:numFmt w:val="bullet"/>
      <w:isLgl w:val="false"/>
      <w:suff w:val="tab"/>
      <w:lvlText w:val="•"/>
      <w:lvlJc w:val="left"/>
      <w:pPr>
        <w:ind w:left="3671" w:hanging="120"/>
      </w:pPr>
    </w:lvl>
    <w:lvl w:ilvl="4">
      <w:start w:val="1"/>
      <w:numFmt w:val="bullet"/>
      <w:isLgl w:val="false"/>
      <w:suff w:val="tab"/>
      <w:lvlText w:val="•"/>
      <w:lvlJc w:val="left"/>
      <w:pPr>
        <w:ind w:left="4582" w:hanging="120"/>
      </w:pPr>
    </w:lvl>
    <w:lvl w:ilvl="5">
      <w:start w:val="1"/>
      <w:numFmt w:val="bullet"/>
      <w:isLgl w:val="false"/>
      <w:suff w:val="tab"/>
      <w:lvlText w:val="•"/>
      <w:lvlJc w:val="left"/>
      <w:pPr>
        <w:ind w:left="5493" w:hanging="120"/>
      </w:pPr>
    </w:lvl>
    <w:lvl w:ilvl="6">
      <w:start w:val="1"/>
      <w:numFmt w:val="bullet"/>
      <w:isLgl w:val="false"/>
      <w:suff w:val="tab"/>
      <w:lvlText w:val="•"/>
      <w:lvlJc w:val="left"/>
      <w:pPr>
        <w:ind w:left="6403" w:hanging="120"/>
      </w:pPr>
    </w:lvl>
    <w:lvl w:ilvl="7">
      <w:start w:val="1"/>
      <w:numFmt w:val="bullet"/>
      <w:isLgl w:val="false"/>
      <w:suff w:val="tab"/>
      <w:lvlText w:val="•"/>
      <w:lvlJc w:val="left"/>
      <w:pPr>
        <w:ind w:left="7314" w:hanging="120"/>
      </w:pPr>
    </w:lvl>
    <w:lvl w:ilvl="8">
      <w:start w:val="1"/>
      <w:numFmt w:val="bullet"/>
      <w:isLgl w:val="false"/>
      <w:suff w:val="tab"/>
      <w:lvlText w:val="•"/>
      <w:lvlJc w:val="left"/>
      <w:pPr>
        <w:ind w:left="8225" w:hanging="12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  <w:b/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360"/>
      </w:pPr>
      <w:rPr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2"/>
      <w:numFmt w:val="decimal"/>
      <w:isLgl w:val="false"/>
      <w:suff w:val="tab"/>
      <w:lvlText w:val="%1.%2."/>
      <w:lvlJc w:val="left"/>
      <w:pPr>
        <w:ind w:left="1189" w:hanging="480"/>
      </w:pPr>
      <w:rPr>
        <w:b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5"/>
    <w:link w:val="69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5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5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5"/>
    <w:link w:val="704"/>
    <w:uiPriority w:val="99"/>
  </w:style>
  <w:style w:type="character" w:styleId="45">
    <w:name w:val="Footer Char"/>
    <w:basedOn w:val="695"/>
    <w:link w:val="706"/>
    <w:uiPriority w:val="99"/>
  </w:style>
  <w:style w:type="paragraph" w:styleId="46">
    <w:name w:val="Caption"/>
    <w:basedOn w:val="693"/>
    <w:next w:val="69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5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5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694">
    <w:name w:val="Heading 1"/>
    <w:basedOn w:val="693"/>
    <w:next w:val="693"/>
    <w:link w:val="698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Заголовок 1 Знак"/>
    <w:basedOn w:val="695"/>
    <w:link w:val="694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699" w:customStyle="1">
    <w:name w:val="Цветовое выделение"/>
    <w:uiPriority w:val="99"/>
    <w:rPr>
      <w:b/>
      <w:bCs/>
      <w:color w:val="26282f"/>
    </w:rPr>
  </w:style>
  <w:style w:type="character" w:styleId="700" w:customStyle="1">
    <w:name w:val="Гипертекстовая ссылка"/>
    <w:uiPriority w:val="99"/>
    <w:rPr>
      <w:b w:val="0"/>
      <w:bCs w:val="0"/>
      <w:color w:val="106bbe"/>
    </w:rPr>
  </w:style>
  <w:style w:type="paragraph" w:styleId="701" w:customStyle="1">
    <w:name w:val="Нормальный (таблица)"/>
    <w:basedOn w:val="693"/>
    <w:next w:val="693"/>
    <w:uiPriority w:val="99"/>
    <w:pPr>
      <w:ind w:firstLine="0"/>
    </w:pPr>
  </w:style>
  <w:style w:type="paragraph" w:styleId="702" w:customStyle="1">
    <w:name w:val="Таблицы (моноширинный)"/>
    <w:basedOn w:val="693"/>
    <w:next w:val="693"/>
    <w:uiPriority w:val="99"/>
    <w:pPr>
      <w:ind w:firstLine="0"/>
      <w:jc w:val="left"/>
    </w:pPr>
    <w:rPr>
      <w:rFonts w:ascii="Courier New" w:hAnsi="Courier New" w:cs="Courier New"/>
    </w:rPr>
  </w:style>
  <w:style w:type="paragraph" w:styleId="703">
    <w:name w:val="List Paragraph"/>
    <w:basedOn w:val="693"/>
    <w:uiPriority w:val="34"/>
    <w:qFormat/>
    <w:pPr>
      <w:contextualSpacing/>
      <w:ind w:left="720"/>
    </w:pPr>
  </w:style>
  <w:style w:type="paragraph" w:styleId="704">
    <w:name w:val="Header"/>
    <w:basedOn w:val="693"/>
    <w:link w:val="7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5" w:customStyle="1">
    <w:name w:val="Верхний колонтитул Знак"/>
    <w:basedOn w:val="695"/>
    <w:link w:val="704"/>
    <w:uiPriority w:val="99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706">
    <w:name w:val="Footer"/>
    <w:basedOn w:val="693"/>
    <w:link w:val="7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7" w:customStyle="1">
    <w:name w:val="Нижний колонтитул Знак"/>
    <w:basedOn w:val="695"/>
    <w:link w:val="706"/>
    <w:uiPriority w:val="99"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708">
    <w:name w:val="Hyperlink"/>
    <w:basedOn w:val="695"/>
    <w:uiPriority w:val="99"/>
    <w:unhideWhenUsed/>
    <w:rPr>
      <w:color w:val="0563c1" w:themeColor="hyperlink"/>
      <w:u w:val="single"/>
    </w:rPr>
  </w:style>
  <w:style w:type="table" w:styleId="709">
    <w:name w:val="Table Grid"/>
    <w:basedOn w:val="69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0" w:customStyle="1">
    <w:name w:val="Неразрешенное упоминание1"/>
    <w:basedOn w:val="695"/>
    <w:uiPriority w:val="99"/>
    <w:semiHidden/>
    <w:unhideWhenUsed/>
    <w:rPr>
      <w:color w:val="605e5c"/>
      <w:shd w:val="clear" w:color="auto" w:fill="e1dfdd"/>
    </w:rPr>
  </w:style>
  <w:style w:type="paragraph" w:styleId="711">
    <w:name w:val="Balloon Text"/>
    <w:basedOn w:val="693"/>
    <w:link w:val="71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12" w:customStyle="1">
    <w:name w:val="Текст выноски Знак"/>
    <w:basedOn w:val="695"/>
    <w:link w:val="71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13">
    <w:name w:val="annotation reference"/>
    <w:basedOn w:val="695"/>
    <w:uiPriority w:val="99"/>
    <w:semiHidden/>
    <w:unhideWhenUsed/>
    <w:rPr>
      <w:sz w:val="16"/>
      <w:szCs w:val="16"/>
    </w:rPr>
  </w:style>
  <w:style w:type="paragraph" w:styleId="714">
    <w:name w:val="annotation text"/>
    <w:basedOn w:val="693"/>
    <w:link w:val="715"/>
    <w:uiPriority w:val="99"/>
    <w:semiHidden/>
    <w:unhideWhenUsed/>
    <w:pPr>
      <w:ind w:firstLine="0"/>
      <w:jc w:val="left"/>
    </w:pPr>
    <w:rPr>
      <w:rFonts w:ascii="Times New Roman" w:hAnsi="Times New Roman" w:eastAsia="Arimo" w:cs="Times New Roman"/>
      <w:color w:val="000000"/>
      <w:sz w:val="20"/>
      <w:szCs w:val="20"/>
    </w:rPr>
  </w:style>
  <w:style w:type="character" w:styleId="715" w:customStyle="1">
    <w:name w:val="Текст примечания Знак"/>
    <w:basedOn w:val="695"/>
    <w:link w:val="714"/>
    <w:uiPriority w:val="99"/>
    <w:semiHidden/>
    <w:rPr>
      <w:rFonts w:ascii="Times New Roman" w:hAnsi="Times New Roman" w:eastAsia="Arimo" w:cs="Times New Roman"/>
      <w:color w:val="000000"/>
      <w:sz w:val="20"/>
      <w:szCs w:val="20"/>
      <w:lang w:eastAsia="ru-RU"/>
    </w:rPr>
  </w:style>
  <w:style w:type="paragraph" w:styleId="716">
    <w:name w:val="annotation subject"/>
    <w:basedOn w:val="714"/>
    <w:next w:val="714"/>
    <w:link w:val="717"/>
    <w:uiPriority w:val="99"/>
    <w:semiHidden/>
    <w:unhideWhenUsed/>
    <w:pPr>
      <w:ind w:firstLine="720"/>
      <w:jc w:val="both"/>
    </w:pPr>
    <w:rPr>
      <w:rFonts w:ascii="Times New Roman CYR" w:hAnsi="Times New Roman CYR" w:eastAsia="Times New Roman" w:cs="Times New Roman CYR"/>
      <w:b/>
      <w:bCs/>
      <w:color w:val="auto"/>
    </w:rPr>
  </w:style>
  <w:style w:type="character" w:styleId="717" w:customStyle="1">
    <w:name w:val="Тема примечания Знак"/>
    <w:basedOn w:val="715"/>
    <w:link w:val="716"/>
    <w:uiPriority w:val="99"/>
    <w:semiHidden/>
    <w:rPr>
      <w:rFonts w:ascii="Times New Roman CYR" w:hAnsi="Times New Roman CYR" w:eastAsia="Times New Roman" w:cs="Times New Roman CYR"/>
      <w:b/>
      <w:bCs/>
      <w:color w:val="000000"/>
      <w:sz w:val="20"/>
      <w:szCs w:val="20"/>
      <w:lang w:eastAsia="ru-RU"/>
    </w:rPr>
  </w:style>
  <w:style w:type="paragraph" w:styleId="718">
    <w:name w:val="Body Text"/>
    <w:basedOn w:val="693"/>
    <w:link w:val="719"/>
    <w:uiPriority w:val="1"/>
    <w:qFormat/>
    <w:pPr>
      <w:ind w:firstLine="0"/>
      <w:jc w:val="left"/>
    </w:pPr>
    <w:rPr>
      <w:rFonts w:ascii="Arial" w:hAnsi="Arial" w:eastAsia="Arial" w:cs="Arial"/>
      <w:sz w:val="14"/>
      <w:szCs w:val="14"/>
      <w:lang w:eastAsia="en-US"/>
    </w:rPr>
  </w:style>
  <w:style w:type="character" w:styleId="719" w:customStyle="1">
    <w:name w:val="Основной текст Знак"/>
    <w:basedOn w:val="695"/>
    <w:link w:val="718"/>
    <w:uiPriority w:val="1"/>
    <w:rPr>
      <w:rFonts w:ascii="Arial" w:hAnsi="Arial" w:eastAsia="Arial" w:cs="Arial"/>
      <w:sz w:val="14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Артём Федотовских</cp:lastModifiedBy>
  <cp:revision>64</cp:revision>
  <dcterms:created xsi:type="dcterms:W3CDTF">2022-06-09T10:09:00Z</dcterms:created>
  <dcterms:modified xsi:type="dcterms:W3CDTF">2025-09-02T11:29:35Z</dcterms:modified>
</cp:coreProperties>
</file>